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3C7" w:rsidRPr="00FD68FE" w:rsidRDefault="001E2E7D" w:rsidP="004105F0">
      <w:pPr>
        <w:spacing w:afterLines="0" w:line="240" w:lineRule="auto"/>
        <w:rPr>
          <w:b/>
          <w:sz w:val="28"/>
          <w:szCs w:val="28"/>
        </w:rPr>
      </w:pPr>
      <w:r>
        <w:rPr>
          <w:b/>
          <w:sz w:val="28"/>
          <w:szCs w:val="28"/>
        </w:rPr>
        <w:fldChar w:fldCharType="begin"/>
      </w:r>
      <w:r>
        <w:rPr>
          <w:b/>
          <w:sz w:val="28"/>
          <w:szCs w:val="28"/>
        </w:rPr>
        <w:instrText xml:space="preserve"> MACROBUTTON MTEditEquationSection2 </w:instrText>
      </w:r>
      <w:r w:rsidRPr="001E2E7D">
        <w:rPr>
          <w:rStyle w:val="MTEquationSection"/>
        </w:rPr>
        <w:instrText>Equation Chapter 1 Section 1</w:instrText>
      </w:r>
      <w:r>
        <w:rPr>
          <w:b/>
          <w:sz w:val="28"/>
          <w:szCs w:val="28"/>
        </w:rPr>
        <w:fldChar w:fldCharType="begin"/>
      </w:r>
      <w:r>
        <w:rPr>
          <w:b/>
          <w:sz w:val="28"/>
          <w:szCs w:val="28"/>
        </w:rPr>
        <w:instrText xml:space="preserve"> SEQ MTEqn \r \h \* MERGEFORMAT </w:instrText>
      </w:r>
      <w:r>
        <w:rPr>
          <w:b/>
          <w:sz w:val="28"/>
          <w:szCs w:val="28"/>
        </w:rPr>
        <w:fldChar w:fldCharType="end"/>
      </w:r>
      <w:r>
        <w:rPr>
          <w:b/>
          <w:sz w:val="28"/>
          <w:szCs w:val="28"/>
        </w:rPr>
        <w:fldChar w:fldCharType="begin"/>
      </w:r>
      <w:r>
        <w:rPr>
          <w:b/>
          <w:sz w:val="28"/>
          <w:szCs w:val="28"/>
        </w:rPr>
        <w:instrText xml:space="preserve"> SEQ MTSec \r 1 \h \* MERGEFORMAT </w:instrText>
      </w:r>
      <w:r>
        <w:rPr>
          <w:b/>
          <w:sz w:val="28"/>
          <w:szCs w:val="28"/>
        </w:rPr>
        <w:fldChar w:fldCharType="end"/>
      </w:r>
      <w:r>
        <w:rPr>
          <w:b/>
          <w:sz w:val="28"/>
          <w:szCs w:val="28"/>
        </w:rPr>
        <w:fldChar w:fldCharType="begin"/>
      </w:r>
      <w:r>
        <w:rPr>
          <w:b/>
          <w:sz w:val="28"/>
          <w:szCs w:val="28"/>
        </w:rPr>
        <w:instrText xml:space="preserve"> SEQ MTChap \r 1 \h \* MERGEFORMAT </w:instrText>
      </w:r>
      <w:r>
        <w:rPr>
          <w:b/>
          <w:sz w:val="28"/>
          <w:szCs w:val="28"/>
        </w:rPr>
        <w:fldChar w:fldCharType="end"/>
      </w:r>
      <w:r>
        <w:rPr>
          <w:b/>
          <w:sz w:val="28"/>
          <w:szCs w:val="28"/>
        </w:rPr>
        <w:fldChar w:fldCharType="end"/>
      </w:r>
      <w:r w:rsidR="001F7BCF" w:rsidRPr="00FD68FE">
        <w:rPr>
          <w:b/>
          <w:sz w:val="28"/>
          <w:szCs w:val="28"/>
        </w:rPr>
        <w:t>DTU V1D – DTU Vertical 1D Transport Model. A spreadsheet for risk assessment in low-permeability media</w:t>
      </w:r>
    </w:p>
    <w:p w:rsidR="001F7BCF" w:rsidRDefault="001F7BCF" w:rsidP="004105F0">
      <w:pPr>
        <w:spacing w:afterLines="0" w:line="240" w:lineRule="auto"/>
      </w:pPr>
    </w:p>
    <w:p w:rsidR="001F7BCF" w:rsidRDefault="001F7BCF" w:rsidP="004105F0">
      <w:pPr>
        <w:spacing w:afterLines="0" w:line="240" w:lineRule="auto"/>
      </w:pPr>
      <w:r>
        <w:t xml:space="preserve">DTU V1D calculates the leaching concentration from a low-permeability media (with or without fractures) to an underlying aquifer for two </w:t>
      </w:r>
      <w:r w:rsidR="004105F0">
        <w:t>source models</w:t>
      </w:r>
      <w:r>
        <w:t xml:space="preserve">: </w:t>
      </w:r>
    </w:p>
    <w:p w:rsidR="001F7BCF" w:rsidRDefault="001F7BCF" w:rsidP="004105F0">
      <w:pPr>
        <w:pStyle w:val="ListParagraph"/>
        <w:numPr>
          <w:ilvl w:val="0"/>
          <w:numId w:val="1"/>
        </w:numPr>
        <w:spacing w:afterLines="0" w:line="240" w:lineRule="auto"/>
      </w:pPr>
      <w:r>
        <w:t>Source overlying the low-permeability matrix (model 1a and 1b)</w:t>
      </w:r>
    </w:p>
    <w:p w:rsidR="001F7BCF" w:rsidRDefault="001F7BCF" w:rsidP="004105F0">
      <w:pPr>
        <w:pStyle w:val="ListParagraph"/>
        <w:numPr>
          <w:ilvl w:val="0"/>
          <w:numId w:val="1"/>
        </w:numPr>
        <w:spacing w:afterLines="0" w:line="240" w:lineRule="auto"/>
      </w:pPr>
      <w:r>
        <w:t>Source trapped in the low-permeability matrix (model 2)</w:t>
      </w:r>
    </w:p>
    <w:p w:rsidR="001F7BCF" w:rsidRDefault="001F7BCF" w:rsidP="004105F0">
      <w:pPr>
        <w:pStyle w:val="ListParagraph"/>
        <w:spacing w:afterLines="0" w:line="240" w:lineRule="auto"/>
      </w:pPr>
    </w:p>
    <w:p w:rsidR="001F7BCF" w:rsidRDefault="001F7BCF" w:rsidP="004105F0">
      <w:pPr>
        <w:keepNext/>
        <w:spacing w:afterLines="0" w:line="240" w:lineRule="auto"/>
      </w:pPr>
      <w:r>
        <w:rPr>
          <w:noProof/>
        </w:rPr>
        <w:drawing>
          <wp:inline distT="0" distB="0" distL="0" distR="0">
            <wp:extent cx="5095875" cy="3028556"/>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095875" cy="3028556"/>
                    </a:xfrm>
                    <a:prstGeom prst="rect">
                      <a:avLst/>
                    </a:prstGeom>
                    <a:noFill/>
                    <a:ln w="9525">
                      <a:noFill/>
                      <a:miter lim="800000"/>
                      <a:headEnd/>
                      <a:tailEnd/>
                    </a:ln>
                  </pic:spPr>
                </pic:pic>
              </a:graphicData>
            </a:graphic>
          </wp:inline>
        </w:drawing>
      </w:r>
    </w:p>
    <w:p w:rsidR="001F7BCF" w:rsidRDefault="001F7BCF" w:rsidP="004105F0">
      <w:pPr>
        <w:pStyle w:val="Caption"/>
        <w:spacing w:afterLines="0"/>
      </w:pPr>
      <w:bookmarkStart w:id="0" w:name="_Ref306018894"/>
      <w:r>
        <w:t xml:space="preserve">Figure </w:t>
      </w:r>
      <w:fldSimple w:instr=" SEQ Figure \* ARABIC ">
        <w:r w:rsidR="00ED6928">
          <w:rPr>
            <w:noProof/>
          </w:rPr>
          <w:t>1</w:t>
        </w:r>
      </w:fldSimple>
      <w:bookmarkEnd w:id="0"/>
      <w:r>
        <w:t xml:space="preserve"> – Source overlying the low-permeability media for a years (model 1a) or for an infinite time (model 1b), and source trapped in the low-permeability matrix (model 2). </w:t>
      </w:r>
    </w:p>
    <w:p w:rsidR="001F7BCF" w:rsidRDefault="001F7BCF" w:rsidP="004105F0">
      <w:pPr>
        <w:spacing w:afterLines="0" w:line="240" w:lineRule="auto"/>
      </w:pPr>
    </w:p>
    <w:p w:rsidR="001F7BCF" w:rsidRDefault="001F7BCF" w:rsidP="004105F0">
      <w:pPr>
        <w:spacing w:afterLines="0" w:line="240" w:lineRule="auto"/>
      </w:pPr>
      <w:r>
        <w:t xml:space="preserve">DTU V1D calculates the leaching concentration using four different conceptual models: </w:t>
      </w:r>
    </w:p>
    <w:p w:rsidR="001F7BCF" w:rsidRDefault="001F7BCF" w:rsidP="004105F0">
      <w:pPr>
        <w:pStyle w:val="ListParagraph"/>
        <w:numPr>
          <w:ilvl w:val="0"/>
          <w:numId w:val="1"/>
        </w:numPr>
        <w:spacing w:afterLines="0" w:line="240" w:lineRule="auto"/>
      </w:pPr>
      <w:r>
        <w:t>Presence of vertical fractures throughout the low-permeability media</w:t>
      </w:r>
    </w:p>
    <w:p w:rsidR="001F7BCF" w:rsidRDefault="001F7BCF" w:rsidP="004105F0">
      <w:pPr>
        <w:pStyle w:val="ListParagraph"/>
        <w:numPr>
          <w:ilvl w:val="1"/>
          <w:numId w:val="1"/>
        </w:numPr>
        <w:spacing w:afterLines="0" w:line="240" w:lineRule="auto"/>
      </w:pPr>
      <w:r>
        <w:t>Advection along the fractures</w:t>
      </w:r>
    </w:p>
    <w:p w:rsidR="001F7BCF" w:rsidRDefault="001F7BCF" w:rsidP="004105F0">
      <w:pPr>
        <w:pStyle w:val="ListParagraph"/>
        <w:numPr>
          <w:ilvl w:val="1"/>
          <w:numId w:val="1"/>
        </w:numPr>
        <w:spacing w:afterLines="0" w:line="240" w:lineRule="auto"/>
      </w:pPr>
      <w:r>
        <w:t>Diffusion and sorption in the porous matrix</w:t>
      </w:r>
    </w:p>
    <w:p w:rsidR="001F7BCF" w:rsidRDefault="001F7BCF" w:rsidP="004105F0">
      <w:pPr>
        <w:pStyle w:val="ListParagraph"/>
        <w:numPr>
          <w:ilvl w:val="1"/>
          <w:numId w:val="1"/>
        </w:numPr>
        <w:spacing w:afterLines="0" w:line="240" w:lineRule="auto"/>
      </w:pPr>
      <w:r>
        <w:t>Degradation in the fractures and matrix</w:t>
      </w:r>
    </w:p>
    <w:p w:rsidR="001F7BCF" w:rsidRDefault="001F7BCF" w:rsidP="004105F0">
      <w:pPr>
        <w:pStyle w:val="ListParagraph"/>
        <w:numPr>
          <w:ilvl w:val="0"/>
          <w:numId w:val="1"/>
        </w:numPr>
        <w:spacing w:afterLines="0" w:line="240" w:lineRule="auto"/>
      </w:pPr>
      <w:r>
        <w:t>Equivalent Porous Media (EPM) with 1D advection/dispersion in uniform low-permeability media</w:t>
      </w:r>
    </w:p>
    <w:p w:rsidR="001F7BCF" w:rsidRDefault="001F7BCF" w:rsidP="004105F0">
      <w:pPr>
        <w:pStyle w:val="ListParagraph"/>
        <w:numPr>
          <w:ilvl w:val="1"/>
          <w:numId w:val="1"/>
        </w:numPr>
        <w:spacing w:afterLines="0" w:line="240" w:lineRule="auto"/>
      </w:pPr>
      <w:r>
        <w:t>Advection/dispersion</w:t>
      </w:r>
    </w:p>
    <w:p w:rsidR="001F7BCF" w:rsidRDefault="001F7BCF" w:rsidP="004105F0">
      <w:pPr>
        <w:pStyle w:val="ListParagraph"/>
        <w:numPr>
          <w:ilvl w:val="1"/>
          <w:numId w:val="1"/>
        </w:numPr>
        <w:spacing w:afterLines="0" w:line="240" w:lineRule="auto"/>
      </w:pPr>
      <w:r>
        <w:t>Degradation</w:t>
      </w:r>
    </w:p>
    <w:p w:rsidR="006C705D" w:rsidRDefault="006C705D" w:rsidP="004105F0">
      <w:pPr>
        <w:pStyle w:val="ListParagraph"/>
        <w:numPr>
          <w:ilvl w:val="0"/>
          <w:numId w:val="1"/>
        </w:numPr>
        <w:spacing w:afterLines="0" w:line="240" w:lineRule="auto"/>
      </w:pPr>
      <w:r>
        <w:t>Diffusion only in the porous media (if the hydraulic conductivity is very low, advection is negligible and diffusion is the dominant processes in the porous media)</w:t>
      </w:r>
    </w:p>
    <w:p w:rsidR="006C705D" w:rsidRDefault="006C705D" w:rsidP="004105F0">
      <w:pPr>
        <w:pStyle w:val="ListParagraph"/>
        <w:numPr>
          <w:ilvl w:val="1"/>
          <w:numId w:val="1"/>
        </w:numPr>
        <w:spacing w:afterLines="0" w:line="240" w:lineRule="auto"/>
      </w:pPr>
      <w:r>
        <w:t>Diffusion</w:t>
      </w:r>
    </w:p>
    <w:p w:rsidR="006C705D" w:rsidRDefault="006C705D" w:rsidP="004105F0">
      <w:pPr>
        <w:pStyle w:val="ListParagraph"/>
        <w:numPr>
          <w:ilvl w:val="1"/>
          <w:numId w:val="1"/>
        </w:numPr>
        <w:spacing w:afterLines="0" w:line="240" w:lineRule="auto"/>
      </w:pPr>
      <w:r>
        <w:t>Degradation</w:t>
      </w:r>
    </w:p>
    <w:p w:rsidR="006C705D" w:rsidRDefault="006C705D" w:rsidP="004105F0">
      <w:pPr>
        <w:pStyle w:val="ListParagraph"/>
        <w:numPr>
          <w:ilvl w:val="0"/>
          <w:numId w:val="1"/>
        </w:numPr>
        <w:spacing w:afterLines="0" w:line="240" w:lineRule="auto"/>
      </w:pPr>
      <w:r>
        <w:t>1</w:t>
      </w:r>
      <w:r w:rsidRPr="006C705D">
        <w:rPr>
          <w:vertAlign w:val="superscript"/>
        </w:rPr>
        <w:t>st</w:t>
      </w:r>
      <w:r>
        <w:t>-order model for exponentially declining source (applied for model 2 only)</w:t>
      </w:r>
    </w:p>
    <w:p w:rsidR="002B1328" w:rsidRDefault="002B1328" w:rsidP="004105F0">
      <w:pPr>
        <w:pStyle w:val="ListParagraph"/>
        <w:numPr>
          <w:ilvl w:val="1"/>
          <w:numId w:val="1"/>
        </w:numPr>
        <w:spacing w:afterLines="0" w:line="240" w:lineRule="auto"/>
      </w:pPr>
      <w:r>
        <w:t>Advection</w:t>
      </w:r>
    </w:p>
    <w:p w:rsidR="002B1328" w:rsidRDefault="002B1328" w:rsidP="004105F0">
      <w:pPr>
        <w:pStyle w:val="ListParagraph"/>
        <w:numPr>
          <w:ilvl w:val="1"/>
          <w:numId w:val="1"/>
        </w:numPr>
        <w:spacing w:afterLines="0" w:line="240" w:lineRule="auto"/>
      </w:pPr>
      <w:r>
        <w:t>Degradation</w:t>
      </w:r>
    </w:p>
    <w:p w:rsidR="002B1328" w:rsidRDefault="002B1328" w:rsidP="004105F0">
      <w:pPr>
        <w:pStyle w:val="ListParagraph"/>
        <w:numPr>
          <w:ilvl w:val="1"/>
          <w:numId w:val="1"/>
        </w:numPr>
        <w:spacing w:afterLines="0" w:line="240" w:lineRule="auto"/>
      </w:pPr>
      <w:r>
        <w:t>Decaying source</w:t>
      </w:r>
    </w:p>
    <w:p w:rsidR="002B1328" w:rsidRPr="00197F40" w:rsidRDefault="002B1328" w:rsidP="004105F0">
      <w:pPr>
        <w:pStyle w:val="ListParagraph"/>
        <w:numPr>
          <w:ilvl w:val="1"/>
          <w:numId w:val="1"/>
        </w:numPr>
        <w:spacing w:afterLines="0" w:line="240" w:lineRule="auto"/>
        <w:rPr>
          <w:lang w:val="da-DK"/>
        </w:rPr>
      </w:pPr>
      <w:r w:rsidRPr="00197F40">
        <w:rPr>
          <w:lang w:val="da-DK"/>
        </w:rPr>
        <w:t xml:space="preserve">See </w:t>
      </w:r>
      <w:r w:rsidR="00197F40" w:rsidRPr="00197F40">
        <w:rPr>
          <w:lang w:val="da-DK"/>
        </w:rPr>
        <w:t>Troldborg et al.</w:t>
      </w:r>
      <w:r w:rsidR="00197F40">
        <w:rPr>
          <w:lang w:val="da-DK"/>
        </w:rPr>
        <w:t xml:space="preserve"> </w:t>
      </w:r>
      <w:r w:rsidR="00D914C9">
        <w:fldChar w:fldCharType="begin"/>
      </w:r>
      <w:r w:rsidR="00ED6928">
        <w:rPr>
          <w:lang w:val="da-DK"/>
        </w:rPr>
        <w:instrText xml:space="preserve"> ADDIN REFMGR.CITE &lt;Refman&gt;&lt;Cite ExcludeAuth="1"&gt;&lt;Author&gt;Troldborg&lt;/Author&gt;&lt;Year&gt;2008&lt;/Year&gt;&lt;RecNum&gt;661&lt;/RecNum&gt;&lt;IDText&gt;Risk assessment and prioritisation of contaminated sites on the catchment scale&lt;/IDText&gt;&lt;MDL Ref_Type="Journal"&gt;&lt;Ref_Type&gt;Journal&lt;/Ref_Type&gt;&lt;Ref_ID&gt;661&lt;/Ref_ID&gt;&lt;Title_Primary&gt;Risk assessment and prioritisation of contaminated sites on the catchment scale&lt;/Title_Primary&gt;&lt;Authors_Primary&gt;Troldborg,M.&lt;/Authors_Primary&gt;&lt;Authors_Primary&gt;Lemming,G.&lt;/Authors_Primary&gt;&lt;Authors_Primary&gt;Binning,P.J.&lt;/Authors_Primary&gt;&lt;Authors_Primary&gt;Tuxen,N.&lt;/Authors_Primary&gt;&lt;Authors_Primary&gt;Bjerg,P.L.&lt;/Authors_Primary&gt;&lt;Date_Primary&gt;2008&lt;/Date_Primary&gt;&lt;Keywords&gt;CONTAMINATED SITES&lt;/Keywords&gt;&lt;Keywords&gt;contamination&lt;/Keywords&gt;&lt;Keywords&gt;DENMARK&lt;/Keywords&gt;&lt;Keywords&gt;FLUX&lt;/Keywords&gt;&lt;Keywords&gt;GROUNDWATER&lt;/Keywords&gt;&lt;Keywords&gt;Groundwater quality&lt;/Keywords&gt;&lt;Keywords&gt;IDENTIFICATION&lt;/Keywords&gt;&lt;Keywords&gt;IMPACT&lt;/Keywords&gt;&lt;Keywords&gt;leaching&lt;/Keywords&gt;&lt;Keywords&gt;LEACHING MODEL&lt;/Keywords&gt;&lt;Keywords&gt;MASS&lt;/Keywords&gt;&lt;Keywords&gt;mass flux&lt;/Keywords&gt;&lt;Keywords&gt;MODEL&lt;/Keywords&gt;&lt;Keywords&gt;Modelling&lt;/Keywords&gt;&lt;Keywords&gt;ORIGIN&lt;/Keywords&gt;&lt;Keywords&gt;QUALITY&lt;/Keywords&gt;&lt;Keywords&gt;remediation&lt;/Keywords&gt;&lt;Keywords&gt;risk&lt;/Keywords&gt;&lt;Keywords&gt;risk assessment&lt;/Keywords&gt;&lt;Keywords&gt;SCALE&lt;/Keywords&gt;&lt;Keywords&gt;SITE&lt;/Keywords&gt;&lt;Keywords&gt;TRANSPORT&lt;/Keywords&gt;&lt;Reprint&gt;Not in File&lt;/Reprint&gt;&lt;Start_Page&gt;14&lt;/Start_Page&gt;&lt;End_Page&gt;28&lt;/End_Page&gt;&lt;Periodical&gt;Journal of Contaminant Hydrology&lt;/Periodical&gt;&lt;Volume&gt;101&lt;/Volume&gt;&lt;Issue&gt;1-4&lt;/Issue&gt;&lt;ISSN_ISBN&gt;0169-7722&lt;/ISSN_ISBN&gt;&lt;Web_URL&gt;WOS:000260665800002&lt;/Web_URL&gt;&lt;ZZ_JournalFull&gt;&lt;f name="System"&gt;Journal of Contaminant Hydrology&lt;/f&gt;&lt;/ZZ_JournalFull&gt;&lt;ZZ_JournalStdAbbrev&gt;&lt;f name="System"&gt;J.Contam.Hydrol.&lt;/f&gt;&lt;/ZZ_JournalStdAbbrev&gt;&lt;ZZ_WorkformID&gt;1&lt;/ZZ_WorkformID&gt;&lt;/MDL&gt;&lt;/Cite&gt;&lt;/Refman&gt;</w:instrText>
      </w:r>
      <w:r w:rsidR="00D914C9">
        <w:fldChar w:fldCharType="separate"/>
      </w:r>
      <w:r w:rsidR="00197F40">
        <w:rPr>
          <w:lang w:val="da-DK"/>
        </w:rPr>
        <w:t>(2008)</w:t>
      </w:r>
      <w:r w:rsidR="00D914C9">
        <w:fldChar w:fldCharType="end"/>
      </w:r>
    </w:p>
    <w:p w:rsidR="002B1328" w:rsidRPr="00197F40" w:rsidRDefault="002B1328" w:rsidP="004105F0">
      <w:pPr>
        <w:spacing w:afterLines="0" w:line="240" w:lineRule="auto"/>
        <w:rPr>
          <w:lang w:val="da-DK"/>
        </w:rPr>
      </w:pPr>
    </w:p>
    <w:p w:rsidR="001E2E7D" w:rsidRDefault="002B1328" w:rsidP="00CC6494">
      <w:pPr>
        <w:spacing w:afterLines="0" w:line="240" w:lineRule="auto"/>
      </w:pPr>
      <w:r>
        <w:t>DTU V1D is suitable for fully saturated media only and does not account for gas transport.</w:t>
      </w:r>
      <w:r w:rsidR="003C78E7">
        <w:t xml:space="preserve"> </w:t>
      </w:r>
      <w:r w:rsidR="00CC6494">
        <w:t xml:space="preserve">The analytical solution for leaching through fractured media, a single fracture assumption is used (see bottom schemes in </w:t>
      </w:r>
      <w:r w:rsidR="00CC6494">
        <w:fldChar w:fldCharType="begin"/>
      </w:r>
      <w:r w:rsidR="00CC6494">
        <w:instrText xml:space="preserve"> REF _Ref306018894 \h </w:instrText>
      </w:r>
      <w:r w:rsidR="00CC6494">
        <w:fldChar w:fldCharType="separate"/>
      </w:r>
      <w:r w:rsidR="00ED6928">
        <w:t xml:space="preserve">Figure </w:t>
      </w:r>
      <w:r w:rsidR="00ED6928">
        <w:rPr>
          <w:noProof/>
        </w:rPr>
        <w:t>1</w:t>
      </w:r>
      <w:r w:rsidR="00CC6494">
        <w:fldChar w:fldCharType="end"/>
      </w:r>
      <w:r w:rsidR="00CC6494">
        <w:t xml:space="preserve">). This assumption is reasonable for large fracture spacing (&gt;1-1.5m), as </w:t>
      </w:r>
      <w:r w:rsidR="00CC6494">
        <w:lastRenderedPageBreak/>
        <w:t xml:space="preserve">commonly found in Danish clay tills. For model 2 (source trapped in low-permeability media), the leaching concentrations for time longer than diffusion time in the matrix have to be disregarded. This is automatically done in the Excel sheet with a warning (see example below). </w:t>
      </w:r>
      <w:r w:rsidR="003C78E7">
        <w:t xml:space="preserve">More details on the risk assessment tool for fractured media and EPM can be found in Chambon et al. </w:t>
      </w:r>
      <w:r w:rsidR="003C78E7">
        <w:fldChar w:fldCharType="begin"/>
      </w:r>
      <w:r w:rsidR="00ED6928">
        <w:instrText xml:space="preserve"> ADDIN REFMGR.CITE &lt;Refman&gt;&lt;Cite ExcludeAuth="1"&gt;&lt;Author&gt;Chambon&lt;/Author&gt;&lt;Year&gt;2011&lt;/Year&gt;&lt;RecNum&gt;6424&lt;/RecNum&gt;&lt;IDText&gt;A risk assessment tool for contaminated sites in low-permeability fractured media&lt;/IDText&gt;&lt;MDL Ref_Type="Journal"&gt;&lt;Ref_Type&gt;Journal&lt;/Ref_Type&gt;&lt;Ref_ID&gt;6424&lt;/Ref_ID&gt;&lt;Title_Primary&gt;A risk assessment tool for contaminated sites in low-permeability fractured media&lt;/Title_Primary&gt;&lt;Authors_Primary&gt;Chambon,Julie C.&lt;/Authors_Primary&gt;&lt;Authors_Primary&gt;Binning,Philip J.&lt;/Authors_Primary&gt;&lt;Authors_Primary&gt;Jorgensen,Peter R.&lt;/Authors_Primary&gt;&lt;Authors_Primary&gt;Bjerg,Poul L.&lt;/Authors_Primary&gt;&lt;Date_Primary&gt;2011&lt;/Date_Primary&gt;&lt;Keywords&gt;Contaminated&lt;/Keywords&gt;&lt;Keywords&gt;CONTAMINATED SITE&lt;/Keywords&gt;&lt;Keywords&gt;CONTAMINATED SITES&lt;/Keywords&gt;&lt;Keywords&gt;fractured media&lt;/Keywords&gt;&lt;Keywords&gt;MEDIA&lt;/Keywords&gt;&lt;Keywords&gt;risk&lt;/Keywords&gt;&lt;Keywords&gt;risk assessment&lt;/Keywords&gt;&lt;Keywords&gt;SITE&lt;/Keywords&gt;&lt;Reprint&gt;Not in File&lt;/Reprint&gt;&lt;Start_Page&gt;82&lt;/Start_Page&gt;&lt;End_Page&gt;98&lt;/End_Page&gt;&lt;Periodical&gt;Journal of Contaminant Hydrology&lt;/Periodical&gt;&lt;Volume&gt;124&lt;/Volume&gt;&lt;Issue&gt;1-4&lt;/Issue&gt;&lt;ISSN_ISBN&gt;0169-7722&lt;/ISSN_ISBN&gt;&lt;Web_URL&gt;WOS:000291414200009&lt;/Web_URL&gt;&lt;ZZ_JournalFull&gt;&lt;f name="System"&gt;Journal of Contaminant Hydrology&lt;/f&gt;&lt;/ZZ_JournalFull&gt;&lt;ZZ_JournalStdAbbrev&gt;&lt;f name="System"&gt;J.Contam.Hydrol.&lt;/f&gt;&lt;/ZZ_JournalStdAbbrev&gt;&lt;ZZ_WorkformID&gt;1&lt;/ZZ_WorkformID&gt;&lt;/MDL&gt;&lt;/Cite&gt;&lt;/Refman&gt;</w:instrText>
      </w:r>
      <w:r w:rsidR="003C78E7">
        <w:fldChar w:fldCharType="separate"/>
      </w:r>
      <w:r w:rsidR="003C78E7">
        <w:t>(2011)</w:t>
      </w:r>
      <w:r w:rsidR="003C78E7">
        <w:fldChar w:fldCharType="end"/>
      </w:r>
      <w:r w:rsidR="00CC6494">
        <w:t>.</w:t>
      </w:r>
    </w:p>
    <w:p w:rsidR="001E2E7D" w:rsidRDefault="001E2E7D" w:rsidP="00CC6494">
      <w:pPr>
        <w:spacing w:afterLines="0" w:line="240" w:lineRule="auto"/>
      </w:pPr>
    </w:p>
    <w:p w:rsidR="008B7404" w:rsidRDefault="008B7404" w:rsidP="00CC6494">
      <w:pPr>
        <w:spacing w:afterLines="0" w:line="240" w:lineRule="auto"/>
      </w:pPr>
    </w:p>
    <w:p w:rsidR="001E2E7D" w:rsidRPr="008B7404" w:rsidRDefault="001E2E7D" w:rsidP="00CC6494">
      <w:pPr>
        <w:spacing w:afterLines="0" w:line="240" w:lineRule="auto"/>
        <w:rPr>
          <w:i/>
        </w:rPr>
      </w:pPr>
      <w:r w:rsidRPr="008B7404">
        <w:rPr>
          <w:i/>
        </w:rPr>
        <w:t>Calculation of hydrogeological parameters for fractured media</w:t>
      </w:r>
    </w:p>
    <w:p w:rsidR="001E2E7D" w:rsidRDefault="001E2E7D" w:rsidP="00CC6494">
      <w:pPr>
        <w:spacing w:afterLines="0" w:line="240" w:lineRule="auto"/>
      </w:pPr>
    </w:p>
    <w:p w:rsidR="001E2E7D" w:rsidRDefault="001E2E7D" w:rsidP="00ED6928">
      <w:pPr>
        <w:spacing w:afterLines="0" w:line="240" w:lineRule="auto"/>
      </w:pPr>
      <w:r>
        <w:t>The hydrogeological and transport parameters for fractured media are calculated based on two equations; Eq. (1) gives the bulk hydraulic conductivity of the fractured media (</w:t>
      </w:r>
      <w:r w:rsidRPr="001E2E7D">
        <w:rPr>
          <w:i/>
        </w:rPr>
        <w:t>K</w:t>
      </w:r>
      <w:r w:rsidRPr="001E2E7D">
        <w:rPr>
          <w:i/>
          <w:vertAlign w:val="subscript"/>
        </w:rPr>
        <w:t>b</w:t>
      </w:r>
      <w:r>
        <w:t xml:space="preserve">) depending on the fracture network properties, and Eq. (2) is referred to as the cubic law, and gives the water velocity in the fracture depending on the aperture and hydraulic gradient </w:t>
      </w:r>
      <w:r>
        <w:fldChar w:fldCharType="begin"/>
      </w:r>
      <w:r w:rsidR="00ED6928">
        <w:instrText xml:space="preserve"> ADDIN REFMGR.CITE &lt;Refman&gt;&lt;Cite&gt;&lt;Author&gt;McKay&lt;/Author&gt;&lt;Year&gt;1993&lt;/Year&gt;&lt;RecNum&gt;132&lt;/RecNum&gt;&lt;IDText&gt;Field Experiments in A Fractured Clay Till .1. Hydraulic Conductivity and Fracture Aperture&lt;/IDText&gt;&lt;MDL Ref_Type="Journal"&gt;&lt;Ref_Type&gt;Journal&lt;/Ref_Type&gt;&lt;Ref_ID&gt;132&lt;/Ref_ID&gt;&lt;Title_Primary&gt;Field Experiments in A Fractured Clay Till .1. Hydraulic Conductivity and Fracture Aperture&lt;/Title_Primary&gt;&lt;Authors_Primary&gt;McKay,L.D.&lt;/Authors_Primary&gt;&lt;Authors_Primary&gt;Cherry,J.A.&lt;/Authors_Primary&gt;&lt;Authors_Primary&gt;Gillham,R.W.&lt;/Authors_Primary&gt;&lt;Date_Primary&gt;1993&lt;/Date_Primary&gt;&lt;Keywords&gt;CONTAMINANT TRANSPORT&lt;/Keywords&gt;&lt;Keywords&gt;FLOW&lt;/Keywords&gt;&lt;Keywords&gt;GROUNDWATER&lt;/Keywords&gt;&lt;Keywords&gt;GROUNDWATER-FLOW&lt;/Keywords&gt;&lt;Keywords&gt;MODEL&lt;/Keywords&gt;&lt;Keywords&gt;TRANSPORT&lt;/Keywords&gt;&lt;Reprint&gt;Not in File&lt;/Reprint&gt;&lt;Start_Page&gt;1149&lt;/Start_Page&gt;&lt;End_Page&gt;1162&lt;/End_Page&gt;&lt;Periodical&gt;Water Resources Research&lt;/Periodical&gt;&lt;Volume&gt;29&lt;/Volume&gt;&lt;Issue&gt;4&lt;/Issue&gt;&lt;ISSN_ISBN&gt;0043-1397&lt;/ISSN_ISBN&gt;&lt;Web_URL&gt;ISI:A1993KW17800036&lt;/Web_URL&gt;&lt;Web_URL_Link1&gt;&lt;u&gt;file://C:\Documents and Settings\jcc\My Documents\Literature\Articles\mckay_1993.PDF&lt;/u&gt;&lt;/Web_URL_Link1&gt;&lt;ZZ_JournalFull&gt;&lt;f name="System"&gt;Water Resources Research&lt;/f&gt;&lt;/ZZ_JournalFull&gt;&lt;ZZ_JournalStdAbbrev&gt;&lt;f name="System"&gt;Water Resour.Res.&lt;/f&gt;&lt;/ZZ_JournalStdAbbrev&gt;&lt;ZZ_WorkformID&gt;1&lt;/ZZ_WorkformID&gt;&lt;/MDL&gt;&lt;/Cite&gt;&lt;/Refman&gt;</w:instrText>
      </w:r>
      <w:r>
        <w:fldChar w:fldCharType="separate"/>
      </w:r>
      <w:r>
        <w:t>(McKay et al., 1993)</w:t>
      </w:r>
      <w:r>
        <w:fldChar w:fldCharType="end"/>
      </w:r>
      <w:r>
        <w:t xml:space="preserve">: </w:t>
      </w:r>
    </w:p>
    <w:p w:rsidR="00ED6928" w:rsidRDefault="00ED6928" w:rsidP="00ED6928">
      <w:pPr>
        <w:spacing w:afterLines="0" w:line="240" w:lineRule="auto"/>
      </w:pPr>
    </w:p>
    <w:p w:rsidR="001E2E7D" w:rsidRDefault="001E2E7D" w:rsidP="00ED6928">
      <w:pPr>
        <w:pStyle w:val="MTDisplayEquation"/>
      </w:pPr>
      <w:r>
        <w:tab/>
      </w:r>
      <w:r w:rsidRPr="001E2E7D">
        <w:rPr>
          <w:position w:val="-26"/>
        </w:rPr>
        <w:object w:dxaOrig="15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75.2pt;height:36pt" o:ole="">
            <v:imagedata r:id="rId8" o:title=""/>
          </v:shape>
          <o:OLEObject Type="Embed" ProgID="Equation.DSMT4" ShapeID="_x0000_i1036" DrawAspect="Content" ObjectID="_1379764372" r:id="rId9"/>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ED6928">
          <w:rPr>
            <w:noProof/>
          </w:rPr>
          <w:instrText>1</w:instrText>
        </w:r>
      </w:fldSimple>
      <w:r>
        <w:instrText>)</w:instrText>
      </w:r>
      <w:r>
        <w:fldChar w:fldCharType="end"/>
      </w:r>
    </w:p>
    <w:p w:rsidR="001E2E7D" w:rsidRDefault="001E2E7D" w:rsidP="00ED6928">
      <w:pPr>
        <w:pStyle w:val="MTDisplayEquation"/>
      </w:pPr>
      <w:r>
        <w:tab/>
      </w:r>
      <w:r w:rsidRPr="001E2E7D">
        <w:rPr>
          <w:position w:val="-26"/>
        </w:rPr>
        <w:object w:dxaOrig="1500" w:dyaOrig="620">
          <v:shape id="_x0000_i1043" type="#_x0000_t75" style="width:75.2pt;height:31.2pt" o:ole="">
            <v:imagedata r:id="rId10" o:title=""/>
          </v:shape>
          <o:OLEObject Type="Embed" ProgID="Equation.DSMT4" ShapeID="_x0000_i1043" DrawAspect="Content" ObjectID="_1379764373" r:id="rId11"/>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ED6928">
          <w:rPr>
            <w:noProof/>
          </w:rPr>
          <w:instrText>2</w:instrText>
        </w:r>
      </w:fldSimple>
      <w:r>
        <w:instrText>)</w:instrText>
      </w:r>
      <w:r>
        <w:fldChar w:fldCharType="end"/>
      </w:r>
    </w:p>
    <w:p w:rsidR="00ED6928" w:rsidRPr="00ED6928" w:rsidRDefault="00ED6928" w:rsidP="00ED6928">
      <w:pPr>
        <w:spacing w:afterLines="0" w:line="240" w:lineRule="auto"/>
      </w:pPr>
    </w:p>
    <w:p w:rsidR="006734FF" w:rsidRDefault="001E2E7D" w:rsidP="00ED6928">
      <w:pPr>
        <w:spacing w:afterLines="0" w:line="240" w:lineRule="auto"/>
      </w:pPr>
      <w:r>
        <w:t xml:space="preserve">Where </w:t>
      </w:r>
      <w:r w:rsidRPr="008B7404">
        <w:rPr>
          <w:i/>
        </w:rPr>
        <w:t>K</w:t>
      </w:r>
      <w:r w:rsidRPr="008B7404">
        <w:rPr>
          <w:i/>
          <w:vertAlign w:val="subscript"/>
        </w:rPr>
        <w:t>b</w:t>
      </w:r>
      <w:r>
        <w:t xml:space="preserve"> is the bulk hydraulic conductivity (m/s), </w:t>
      </w:r>
      <w:r w:rsidRPr="008B7404">
        <w:rPr>
          <w:i/>
        </w:rPr>
        <w:t>ρ</w:t>
      </w:r>
      <w:r>
        <w:t xml:space="preserve"> is the density of water (kg/m</w:t>
      </w:r>
      <w:r w:rsidRPr="001E2E7D">
        <w:rPr>
          <w:vertAlign w:val="superscript"/>
        </w:rPr>
        <w:t>3</w:t>
      </w:r>
      <w:r>
        <w:t xml:space="preserve">), </w:t>
      </w:r>
      <w:r w:rsidRPr="008B7404">
        <w:rPr>
          <w:i/>
        </w:rPr>
        <w:t>g</w:t>
      </w:r>
      <w:r>
        <w:t xml:space="preserve"> is the </w:t>
      </w:r>
      <w:r w:rsidRPr="001E2E7D">
        <w:t xml:space="preserve">acceleration of gravity </w:t>
      </w:r>
      <w:r>
        <w:t>(m/s</w:t>
      </w:r>
      <w:r w:rsidRPr="001E2E7D">
        <w:rPr>
          <w:vertAlign w:val="superscript"/>
        </w:rPr>
        <w:t>2</w:t>
      </w:r>
      <w:r>
        <w:t xml:space="preserve">) </w:t>
      </w:r>
      <w:r w:rsidRPr="001E2E7D">
        <w:t xml:space="preserve">and </w:t>
      </w:r>
      <w:r w:rsidRPr="008B7404">
        <w:rPr>
          <w:i/>
        </w:rPr>
        <w:t>μ</w:t>
      </w:r>
      <w:r w:rsidRPr="001E2E7D">
        <w:t xml:space="preserve"> is the </w:t>
      </w:r>
      <w:r w:rsidR="008B7404">
        <w:t>kinematic</w:t>
      </w:r>
      <w:r w:rsidRPr="001E2E7D">
        <w:t xml:space="preserve"> viscosity of water</w:t>
      </w:r>
      <w:r>
        <w:t xml:space="preserve"> (</w:t>
      </w:r>
      <w:r w:rsidR="008B7404">
        <w:t>Pa.s</w:t>
      </w:r>
      <w:r w:rsidR="008B7404" w:rsidRPr="008B7404">
        <w:rPr>
          <w:vertAlign w:val="superscript"/>
        </w:rPr>
        <w:t>-1</w:t>
      </w:r>
      <w:r w:rsidR="008B7404">
        <w:t xml:space="preserve">), </w:t>
      </w:r>
      <w:r w:rsidR="008B7404" w:rsidRPr="008B7404">
        <w:rPr>
          <w:i/>
        </w:rPr>
        <w:t>2b</w:t>
      </w:r>
      <w:r w:rsidR="008B7404">
        <w:t xml:space="preserve"> is the fracture aperture (m), </w:t>
      </w:r>
      <w:r w:rsidR="008B7404" w:rsidRPr="008B7404">
        <w:rPr>
          <w:i/>
        </w:rPr>
        <w:t>2B</w:t>
      </w:r>
      <w:r w:rsidR="008B7404">
        <w:t xml:space="preserve"> is the fracture spacing (m), </w:t>
      </w:r>
      <w:r w:rsidR="008B7404" w:rsidRPr="008B7404">
        <w:rPr>
          <w:i/>
        </w:rPr>
        <w:t>v</w:t>
      </w:r>
      <w:r w:rsidR="008B7404" w:rsidRPr="008B7404">
        <w:rPr>
          <w:i/>
          <w:vertAlign w:val="subscript"/>
        </w:rPr>
        <w:t>f</w:t>
      </w:r>
      <w:r w:rsidR="008B7404">
        <w:t xml:space="preserve"> is the water velocity along the fracture (m/s) and </w:t>
      </w:r>
      <w:r w:rsidR="008B7404" w:rsidRPr="008B7404">
        <w:rPr>
          <w:i/>
        </w:rPr>
        <w:t>i</w:t>
      </w:r>
      <w:r w:rsidR="008B7404">
        <w:t xml:space="preserve"> is the hydraulic gradient along the fracture (-). </w:t>
      </w:r>
    </w:p>
    <w:p w:rsidR="006734FF" w:rsidRDefault="006734FF" w:rsidP="006734FF">
      <w:pPr>
        <w:spacing w:afterLines="0" w:line="240" w:lineRule="auto"/>
      </w:pPr>
      <w:r>
        <w:t>Furthermore the hydraulic gradient is linked to the bulk hydraulic conductivity and the net infiltration (</w:t>
      </w:r>
      <w:r w:rsidRPr="006734FF">
        <w:rPr>
          <w:i/>
        </w:rPr>
        <w:t>I</w:t>
      </w:r>
      <w:r>
        <w:t xml:space="preserve">) with: </w:t>
      </w:r>
    </w:p>
    <w:p w:rsidR="006734FF" w:rsidRDefault="006734FF" w:rsidP="006734FF">
      <w:pPr>
        <w:pStyle w:val="MTDisplayEquation"/>
      </w:pPr>
      <w:r>
        <w:tab/>
      </w:r>
      <w:r w:rsidRPr="006734FF">
        <w:rPr>
          <w:position w:val="-10"/>
        </w:rPr>
        <w:object w:dxaOrig="700" w:dyaOrig="320">
          <v:shape id="_x0000_i1050" type="#_x0000_t75" style="width:35.2pt;height:16pt" o:ole="">
            <v:imagedata r:id="rId12" o:title=""/>
          </v:shape>
          <o:OLEObject Type="Embed" ProgID="Equation.DSMT4" ShapeID="_x0000_i1050" DrawAspect="Content" ObjectID="_1379764374" r:id="rId13"/>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ED6928">
          <w:rPr>
            <w:noProof/>
          </w:rPr>
          <w:instrText>3</w:instrText>
        </w:r>
      </w:fldSimple>
      <w:r>
        <w:instrText>)</w:instrText>
      </w:r>
      <w:r>
        <w:fldChar w:fldCharType="end"/>
      </w:r>
    </w:p>
    <w:p w:rsidR="0011244E" w:rsidRDefault="006734FF" w:rsidP="0011244E">
      <w:pPr>
        <w:spacing w:afterLines="0" w:line="240" w:lineRule="auto"/>
      </w:pPr>
      <w:r>
        <w:t>Therefore in order to get the five hydrogeological parameters (Kb, 2b, 2B, I and i), only 3 (</w:t>
      </w:r>
      <w:r w:rsidRPr="006734FF">
        <w:rPr>
          <w:i/>
        </w:rPr>
        <w:t>2B</w:t>
      </w:r>
      <w:r>
        <w:t xml:space="preserve">, </w:t>
      </w:r>
      <w:r w:rsidRPr="006734FF">
        <w:rPr>
          <w:i/>
        </w:rPr>
        <w:t>K</w:t>
      </w:r>
      <w:r w:rsidRPr="006734FF">
        <w:rPr>
          <w:i/>
          <w:vertAlign w:val="subscript"/>
        </w:rPr>
        <w:t>b</w:t>
      </w:r>
      <w:r>
        <w:t xml:space="preserve"> or </w:t>
      </w:r>
      <w:r w:rsidRPr="006734FF">
        <w:rPr>
          <w:i/>
        </w:rPr>
        <w:t>2b</w:t>
      </w:r>
      <w:r>
        <w:t xml:space="preserve"> and </w:t>
      </w:r>
      <w:r w:rsidRPr="006734FF">
        <w:rPr>
          <w:i/>
        </w:rPr>
        <w:t>I</w:t>
      </w:r>
      <w:r>
        <w:t xml:space="preserve"> or </w:t>
      </w:r>
      <w:r w:rsidRPr="006734FF">
        <w:rPr>
          <w:i/>
        </w:rPr>
        <w:t>i</w:t>
      </w:r>
      <w:r>
        <w:t>) are necessary and the others can be calculated from Eq. (1-3). This insures the consistency between the hydraulic parameters. The velocity can then be calculated using Eq. (2).</w:t>
      </w:r>
    </w:p>
    <w:p w:rsidR="0011244E" w:rsidRDefault="0011244E" w:rsidP="0011244E">
      <w:pPr>
        <w:spacing w:afterLines="0" w:line="240" w:lineRule="auto"/>
      </w:pPr>
    </w:p>
    <w:p w:rsidR="00ED6928" w:rsidRPr="00ED6928" w:rsidRDefault="00ED6928" w:rsidP="0011244E">
      <w:pPr>
        <w:spacing w:afterLines="0" w:line="240" w:lineRule="auto"/>
      </w:pPr>
    </w:p>
    <w:p w:rsidR="006734FF" w:rsidRPr="0011244E" w:rsidRDefault="0011244E" w:rsidP="0011244E">
      <w:pPr>
        <w:spacing w:afterLines="0" w:line="240" w:lineRule="auto"/>
        <w:rPr>
          <w:i/>
        </w:rPr>
      </w:pPr>
      <w:r w:rsidRPr="0011244E">
        <w:rPr>
          <w:i/>
        </w:rPr>
        <w:t>Formula input in Excel</w:t>
      </w:r>
      <w:r w:rsidR="006734FF" w:rsidRPr="0011244E">
        <w:rPr>
          <w:i/>
        </w:rPr>
        <w:t xml:space="preserve"> </w:t>
      </w:r>
    </w:p>
    <w:p w:rsidR="006734FF" w:rsidRDefault="006734FF" w:rsidP="0011244E">
      <w:pPr>
        <w:spacing w:afterLines="0" w:line="240" w:lineRule="auto"/>
      </w:pPr>
    </w:p>
    <w:p w:rsidR="0011244E" w:rsidRDefault="0011244E" w:rsidP="0011244E">
      <w:pPr>
        <w:spacing w:afterLines="0" w:line="240" w:lineRule="auto"/>
      </w:pPr>
      <w:r>
        <w:t xml:space="preserve">The analytical solution for contaminant leaching through fractured media </w:t>
      </w:r>
      <w:r w:rsidR="00ED6928">
        <w:t xml:space="preserve">involves the complementary error function </w:t>
      </w:r>
      <w:r w:rsidR="00ED6928" w:rsidRPr="00ED6928">
        <w:rPr>
          <w:i/>
        </w:rPr>
        <w:t>erfc</w:t>
      </w:r>
      <w:r w:rsidR="00ED6928">
        <w:t xml:space="preserve"> </w:t>
      </w:r>
      <w:r w:rsidR="00ED6928">
        <w:fldChar w:fldCharType="begin"/>
      </w:r>
      <w:r w:rsidR="00ED6928">
        <w:instrText xml:space="preserve"> ADDIN REFMGR.CITE &lt;Refman&gt;&lt;Cite&gt;&lt;Author&gt;Chambon&lt;/Author&gt;&lt;Year&gt;2011&lt;/Year&gt;&lt;RecNum&gt;6424&lt;/RecNum&gt;&lt;IDText&gt;A risk assessment tool for contaminated sites in low-permeability fractured media&lt;/IDText&gt;&lt;Prefix&gt;see &lt;/Prefix&gt;&lt;Suffix&gt; for details&lt;/Suffix&gt;&lt;MDL Ref_Type="Journal"&gt;&lt;Ref_Type&gt;Journal&lt;/Ref_Type&gt;&lt;Ref_ID&gt;6424&lt;/Ref_ID&gt;&lt;Title_Primary&gt;A risk assessment tool for contaminated sites in low-permeability fractured media&lt;/Title_Primary&gt;&lt;Authors_Primary&gt;Chambon,Julie C.&lt;/Authors_Primary&gt;&lt;Authors_Primary&gt;Binning,Philip J.&lt;/Authors_Primary&gt;&lt;Authors_Primary&gt;Jorgensen,Peter R.&lt;/Authors_Primary&gt;&lt;Authors_Primary&gt;Bjerg,Poul L.&lt;/Authors_Primary&gt;&lt;Date_Primary&gt;2011&lt;/Date_Primary&gt;&lt;Keywords&gt;Contaminated&lt;/Keywords&gt;&lt;Keywords&gt;CONTAMINATED SITE&lt;/Keywords&gt;&lt;Keywords&gt;CONTAMINATED SITES&lt;/Keywords&gt;&lt;Keywords&gt;fractured media&lt;/Keywords&gt;&lt;Keywords&gt;MEDIA&lt;/Keywords&gt;&lt;Keywords&gt;risk&lt;/Keywords&gt;&lt;Keywords&gt;risk assessment&lt;/Keywords&gt;&lt;Keywords&gt;SITE&lt;/Keywords&gt;&lt;Reprint&gt;Not in File&lt;/Reprint&gt;&lt;Start_Page&gt;82&lt;/Start_Page&gt;&lt;End_Page&gt;98&lt;/End_Page&gt;&lt;Periodical&gt;Journal of Contaminant Hydrology&lt;/Periodical&gt;&lt;Volume&gt;124&lt;/Volume&gt;&lt;Issue&gt;1-4&lt;/Issue&gt;&lt;ISSN_ISBN&gt;0169-7722&lt;/ISSN_ISBN&gt;&lt;Web_URL&gt;WOS:000291414200009&lt;/Web_URL&gt;&lt;ZZ_JournalFull&gt;&lt;f name="System"&gt;Journal of Contaminant Hydrology&lt;/f&gt;&lt;/ZZ_JournalFull&gt;&lt;ZZ_JournalStdAbbrev&gt;&lt;f name="System"&gt;J.Contam.Hydrol.&lt;/f&gt;&lt;/ZZ_JournalStdAbbrev&gt;&lt;ZZ_WorkformID&gt;1&lt;/ZZ_WorkformID&gt;&lt;/MDL&gt;&lt;/Cite&gt;&lt;/Refman&gt;</w:instrText>
      </w:r>
      <w:r w:rsidR="00ED6928">
        <w:fldChar w:fldCharType="separate"/>
      </w:r>
      <w:r w:rsidR="00ED6928">
        <w:t>(see Chambon et al., 2011 for details)</w:t>
      </w:r>
      <w:r w:rsidR="00ED6928">
        <w:fldChar w:fldCharType="end"/>
      </w:r>
      <w:r w:rsidR="00ED6928">
        <w:t xml:space="preserve">. In Excel the erfc function returns an error for negative arguments or for arguments above 28 (even if the function </w:t>
      </w:r>
      <w:r w:rsidR="00ED6928" w:rsidRPr="00ED6928">
        <w:rPr>
          <w:i/>
        </w:rPr>
        <w:t>erfc</w:t>
      </w:r>
      <w:r w:rsidR="00ED6928">
        <w:t xml:space="preserve"> is defined for these values), therefore another function has to be used instead (</w:t>
      </w:r>
      <w:r w:rsidR="00ED6928" w:rsidRPr="00ED6928">
        <w:rPr>
          <w:i/>
        </w:rPr>
        <w:t>normsdist</w:t>
      </w:r>
      <w:r w:rsidR="00ED6928">
        <w:t xml:space="preserve">), with the following equivalence: </w:t>
      </w:r>
    </w:p>
    <w:p w:rsidR="00ED6928" w:rsidRDefault="00ED6928" w:rsidP="0011244E">
      <w:pPr>
        <w:spacing w:afterLines="0" w:line="240" w:lineRule="auto"/>
      </w:pPr>
    </w:p>
    <w:p w:rsidR="00ED6928" w:rsidRDefault="00ED6928" w:rsidP="00ED6928">
      <w:pPr>
        <w:pStyle w:val="MTDisplayEquation"/>
      </w:pPr>
      <w:r>
        <w:tab/>
      </w:r>
      <w:r w:rsidRPr="00ED6928">
        <w:rPr>
          <w:position w:val="-18"/>
        </w:rPr>
        <w:object w:dxaOrig="2799" w:dyaOrig="460">
          <v:shape id="_x0000_i1059" type="#_x0000_t75" style="width:140pt;height:23.2pt" o:ole="">
            <v:imagedata r:id="rId14" o:title=""/>
          </v:shape>
          <o:OLEObject Type="Embed" ProgID="Equation.DSMT4" ShapeID="_x0000_i1059" DrawAspect="Content" ObjectID="_1379764375" r:id="rId15"/>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Pr>
            <w:noProof/>
          </w:rPr>
          <w:instrText>4</w:instrText>
        </w:r>
      </w:fldSimple>
      <w:r>
        <w:instrText>)</w:instrText>
      </w:r>
      <w:r>
        <w:fldChar w:fldCharType="end"/>
      </w:r>
    </w:p>
    <w:p w:rsidR="00ED6928" w:rsidRDefault="00ED6928" w:rsidP="00ED6928">
      <w:pPr>
        <w:spacing w:afterLines="0" w:line="240" w:lineRule="auto"/>
      </w:pPr>
    </w:p>
    <w:p w:rsidR="00ED6928" w:rsidRPr="00ED6928" w:rsidRDefault="00ED6928" w:rsidP="00ED6928">
      <w:pPr>
        <w:spacing w:afterLines="0" w:line="240" w:lineRule="auto"/>
      </w:pPr>
      <w:r>
        <w:t xml:space="preserve">All the </w:t>
      </w:r>
      <w:r w:rsidR="00D06149">
        <w:t>cells with formula</w:t>
      </w:r>
      <w:r>
        <w:t xml:space="preserve"> in Excel are protected from changes with a password (DTUV1D), so that they cannot be changed unintentionally. </w:t>
      </w:r>
    </w:p>
    <w:p w:rsidR="001E2E7D" w:rsidRDefault="001E2E7D" w:rsidP="00ED6928">
      <w:pPr>
        <w:spacing w:afterLines="0" w:line="240" w:lineRule="auto"/>
      </w:pPr>
    </w:p>
    <w:p w:rsidR="001E2E7D" w:rsidRDefault="001E2E7D" w:rsidP="00ED6928">
      <w:pPr>
        <w:spacing w:afterLines="0" w:line="240" w:lineRule="auto"/>
        <w:sectPr w:rsidR="001E2E7D" w:rsidSect="002B1328">
          <w:headerReference w:type="even" r:id="rId16"/>
          <w:headerReference w:type="default" r:id="rId17"/>
          <w:footerReference w:type="even" r:id="rId18"/>
          <w:footerReference w:type="default" r:id="rId19"/>
          <w:headerReference w:type="first" r:id="rId20"/>
          <w:footerReference w:type="first" r:id="rId21"/>
          <w:pgSz w:w="11907" w:h="16839" w:code="9"/>
          <w:pgMar w:top="1440" w:right="1440" w:bottom="1440" w:left="1440" w:header="708" w:footer="708" w:gutter="0"/>
          <w:cols w:space="708"/>
          <w:docGrid w:linePitch="360"/>
        </w:sectPr>
      </w:pPr>
    </w:p>
    <w:p w:rsidR="004105F0" w:rsidRDefault="004105F0" w:rsidP="004105F0">
      <w:pPr>
        <w:spacing w:afterLines="0" w:line="240" w:lineRule="auto"/>
      </w:pPr>
      <w:r>
        <w:lastRenderedPageBreak/>
        <w:t>Spreadsheet organization</w:t>
      </w:r>
      <w:r w:rsidR="00DA16B9">
        <w:t xml:space="preserve"> – example for a fractured low-permeability media (overlying source for 20 years, model 1a)</w:t>
      </w:r>
    </w:p>
    <w:p w:rsidR="004105F0" w:rsidRDefault="004152CD" w:rsidP="004105F0">
      <w:pPr>
        <w:spacing w:afterLines="0" w:line="240" w:lineRule="auto"/>
      </w:pPr>
      <w:r>
        <w:rPr>
          <w:noProof/>
        </w:rPr>
        <w:pict>
          <v:rect id="_x0000_s1100" style="position:absolute;margin-left:221.5pt;margin-top:403.15pt;width:400.1pt;height:62.35pt;z-index:251680768" filled="f" strokecolor="#f3c" strokeweight="1.5pt"/>
        </w:pict>
      </w:r>
      <w:r>
        <w:rPr>
          <w:noProof/>
        </w:rPr>
        <w:pict>
          <v:shapetype id="_x0000_t32" coordsize="21600,21600" o:spt="32" o:oned="t" path="m,l21600,21600e" filled="f">
            <v:path arrowok="t" fillok="f" o:connecttype="none"/>
            <o:lock v:ext="edit" shapetype="t"/>
          </v:shapetype>
          <v:shape id="_x0000_s1126" type="#_x0000_t32" style="position:absolute;margin-left:267.1pt;margin-top:187.65pt;width:164.9pt;height:146.9pt;flip:y;z-index:251707392" o:connectortype="straight">
            <v:stroke endarrow="block"/>
          </v:shape>
        </w:pict>
      </w:r>
      <w:r>
        <w:rPr>
          <w:noProof/>
        </w:rPr>
        <w:pict>
          <v:shape id="_x0000_s1128" type="#_x0000_t32" style="position:absolute;margin-left:147.2pt;margin-top:371.95pt;width:119.9pt;height:64.75pt;flip:x;z-index:251709440" o:connectortype="straight">
            <v:stroke endarrow="block"/>
          </v:shape>
        </w:pict>
      </w:r>
      <w:r>
        <w:rPr>
          <w:noProof/>
        </w:rPr>
        <w:pict>
          <v:shape id="_x0000_s1125" type="#_x0000_t32" style="position:absolute;margin-left:170.2pt;margin-top:371.95pt;width:92.45pt;height:13.55pt;flip:x;z-index:251706368" o:connectortype="straight">
            <v:stroke endarrow="block"/>
          </v:shape>
        </w:pict>
      </w:r>
      <w:r>
        <w:rPr>
          <w:noProof/>
        </w:rPr>
        <w:pict>
          <v:rect id="_x0000_s1131" style="position:absolute;margin-left:16.65pt;margin-top:19.1pt;width:155.9pt;height:23.15pt;z-index:251712512" filled="f" strokecolor="#e36c0a [2409]" strokeweight="1.5pt"/>
        </w:pict>
      </w:r>
      <w:r>
        <w:rPr>
          <w:noProof/>
        </w:rPr>
        <w:pict>
          <v:rect id="_x0000_s1122" style="position:absolute;margin-left:16.05pt;margin-top:78.75pt;width:158.75pt;height:97.75pt;z-index:251704320" filled="f" strokecolor="yellow" strokeweight="1.5pt"/>
        </w:pict>
      </w:r>
      <w:r>
        <w:rPr>
          <w:noProof/>
        </w:rPr>
        <w:pict>
          <v:rect id="_x0000_s1098" style="position:absolute;margin-left:221.9pt;margin-top:61pt;width:383.1pt;height:204.45pt;z-index:251670015" filled="f" strokecolor="red" strokeweight="1.5pt"/>
        </w:pict>
      </w:r>
      <w:r>
        <w:rPr>
          <w:noProof/>
        </w:rPr>
        <w:pict>
          <v:shapetype id="_x0000_t202" coordsize="21600,21600" o:spt="202" path="m,l,21600r21600,l21600,xe">
            <v:stroke joinstyle="miter"/>
            <v:path gradientshapeok="t" o:connecttype="rect"/>
          </v:shapetype>
          <v:shape id="_x0000_s1101" type="#_x0000_t202" style="position:absolute;margin-left:584.3pt;margin-top:418.3pt;width:60.4pt;height:34.75pt;z-index:251681792;v-text-anchor:middle" strokecolor="#f3c">
            <v:textbox style="mso-next-textbox:#_x0000_s1101" inset="1mm,.5mm,1mm,.5mm">
              <w:txbxContent>
                <w:p w:rsidR="00ED6928" w:rsidRPr="00B91AD6" w:rsidRDefault="00ED6928" w:rsidP="00B91AD6">
                  <w:pPr>
                    <w:spacing w:afterLines="0" w:line="240" w:lineRule="auto"/>
                    <w:jc w:val="center"/>
                    <w:rPr>
                      <w:color w:val="FF33CC"/>
                      <w:lang w:val="da-DK"/>
                    </w:rPr>
                  </w:pPr>
                  <w:r w:rsidRPr="00B91AD6">
                    <w:rPr>
                      <w:color w:val="FF33CC"/>
                      <w:lang w:val="da-DK"/>
                    </w:rPr>
                    <w:t>Results</w:t>
                  </w:r>
                </w:p>
              </w:txbxContent>
            </v:textbox>
          </v:shape>
        </w:pict>
      </w:r>
      <w:r>
        <w:rPr>
          <w:noProof/>
        </w:rPr>
        <w:pict>
          <v:shape id="_x0000_s1127" type="#_x0000_t202" style="position:absolute;margin-left:216.3pt;margin-top:334.55pt;width:104.1pt;height:46.7pt;z-index:251784192;v-text-anchor:middle" strokecolor="red">
            <v:textbox style="mso-next-textbox:#_x0000_s1127" inset="1mm,.5mm,1mm,.5mm">
              <w:txbxContent>
                <w:p w:rsidR="00ED6928" w:rsidRPr="00DF15FD" w:rsidRDefault="00ED6928" w:rsidP="00DF15FD">
                  <w:pPr>
                    <w:spacing w:afterLines="0" w:line="240" w:lineRule="auto"/>
                    <w:jc w:val="center"/>
                    <w:rPr>
                      <w:color w:val="FF0000"/>
                    </w:rPr>
                  </w:pPr>
                  <w:r w:rsidRPr="00DF15FD">
                    <w:rPr>
                      <w:color w:val="FF0000"/>
                    </w:rPr>
                    <w:t>Fixed</w:t>
                  </w:r>
                  <w:r>
                    <w:rPr>
                      <w:color w:val="FF0000"/>
                    </w:rPr>
                    <w:t xml:space="preserve"> time (t), concentration profile with depth</w:t>
                  </w:r>
                </w:p>
              </w:txbxContent>
            </v:textbox>
          </v:shape>
        </w:pict>
      </w:r>
      <w:r w:rsidR="00D914C9">
        <w:rPr>
          <w:noProof/>
        </w:rPr>
        <w:pict>
          <v:shape id="_x0000_s1132" type="#_x0000_t202" style="position:absolute;margin-left:177.35pt;margin-top:21.65pt;width:96.9pt;height:34.75pt;z-index:251713536;v-text-anchor:middle" strokecolor="#e36c0a [2409]">
            <v:textbox style="mso-next-textbox:#_x0000_s1132" inset="1mm,.5mm,1mm,.5mm">
              <w:txbxContent>
                <w:p w:rsidR="00ED6928" w:rsidRPr="007F3850" w:rsidRDefault="00ED6928" w:rsidP="007F3850">
                  <w:pPr>
                    <w:spacing w:afterLines="0" w:line="240" w:lineRule="auto"/>
                    <w:jc w:val="center"/>
                    <w:rPr>
                      <w:color w:val="E36C0A" w:themeColor="accent6" w:themeShade="BF"/>
                      <w:lang w:val="da-DK"/>
                    </w:rPr>
                  </w:pPr>
                  <w:r w:rsidRPr="007F3850">
                    <w:rPr>
                      <w:color w:val="E36C0A" w:themeColor="accent6" w:themeShade="BF"/>
                      <w:lang w:val="da-DK"/>
                    </w:rPr>
                    <w:t>Choice of conceptual models</w:t>
                  </w:r>
                </w:p>
              </w:txbxContent>
            </v:textbox>
          </v:shape>
        </w:pict>
      </w:r>
      <w:r w:rsidR="00D914C9">
        <w:rPr>
          <w:noProof/>
        </w:rPr>
        <w:pict>
          <v:shape id="_x0000_s1124" type="#_x0000_t202" style="position:absolute;margin-left:136.45pt;margin-top:65.2pt;width:103.7pt;height:48.05pt;z-index:251705344;v-text-anchor:middle" strokecolor="yellow">
            <v:textbox inset="1mm,.5mm,1mm,.5mm">
              <w:txbxContent>
                <w:p w:rsidR="00ED6928" w:rsidRPr="00DF15FD" w:rsidRDefault="00ED6928" w:rsidP="00B91AD6">
                  <w:pPr>
                    <w:spacing w:afterLines="0" w:line="240" w:lineRule="auto"/>
                    <w:jc w:val="center"/>
                    <w:rPr>
                      <w:color w:val="FFC000"/>
                    </w:rPr>
                  </w:pPr>
                  <w:r w:rsidRPr="00DF15FD">
                    <w:rPr>
                      <w:color w:val="FFC000"/>
                    </w:rPr>
                    <w:t>Input parameters used for calculations</w:t>
                  </w:r>
                </w:p>
              </w:txbxContent>
            </v:textbox>
          </v:shape>
        </w:pict>
      </w:r>
      <w:r w:rsidR="00D914C9">
        <w:rPr>
          <w:noProof/>
        </w:rPr>
        <w:pict>
          <v:shape id="_x0000_s1129" type="#_x0000_t202" style="position:absolute;margin-left:341.9pt;margin-top:287.45pt;width:124.95pt;height:56pt;z-index:251710464;v-text-anchor:middle" strokecolor="#0070c0" strokeweight="1.5pt">
            <v:textbox inset="1mm,.5mm,1mm,.5mm">
              <w:txbxContent>
                <w:p w:rsidR="00ED6928" w:rsidRPr="00DF15FD" w:rsidRDefault="00ED6928" w:rsidP="00DF15FD">
                  <w:pPr>
                    <w:spacing w:afterLines="0" w:line="240" w:lineRule="auto"/>
                    <w:rPr>
                      <w:b/>
                      <w:color w:val="0070C0"/>
                    </w:rPr>
                  </w:pPr>
                  <w:r w:rsidRPr="00DF15FD">
                    <w:rPr>
                      <w:b/>
                      <w:color w:val="0070C0"/>
                    </w:rPr>
                    <w:t>In dark blue, input parameters necessary for calculations and provided by the user</w:t>
                  </w:r>
                </w:p>
              </w:txbxContent>
            </v:textbox>
          </v:shape>
        </w:pict>
      </w:r>
      <w:r w:rsidR="00D914C9">
        <w:rPr>
          <w:noProof/>
        </w:rPr>
        <w:pict>
          <v:shape id="_x0000_s1130" type="#_x0000_t202" style="position:absolute;margin-left:474.6pt;margin-top:334.55pt;width:124.95pt;height:56pt;z-index:251711488;mso-position-horizontal:absolute;v-text-anchor:middle" strokecolor="#b8cce4 [1300]" strokeweight="1.5pt">
            <v:textbox inset="1mm,.5mm,1mm,.5mm">
              <w:txbxContent>
                <w:p w:rsidR="00ED6928" w:rsidRPr="00DF15FD" w:rsidRDefault="00ED6928" w:rsidP="00DF15FD">
                  <w:pPr>
                    <w:spacing w:afterLines="0" w:line="240" w:lineRule="auto"/>
                    <w:rPr>
                      <w:b/>
                      <w:color w:val="8DB3E2" w:themeColor="text2" w:themeTint="66"/>
                    </w:rPr>
                  </w:pPr>
                  <w:r w:rsidRPr="00DF15FD">
                    <w:rPr>
                      <w:b/>
                      <w:color w:val="8DB3E2" w:themeColor="text2" w:themeTint="66"/>
                    </w:rPr>
                    <w:t>In light blue, parameters necessary for calculations and calculated from dark blue parameters</w:t>
                  </w:r>
                </w:p>
              </w:txbxContent>
            </v:textbox>
          </v:shape>
        </w:pict>
      </w:r>
      <w:r w:rsidR="00D914C9">
        <w:rPr>
          <w:noProof/>
        </w:rPr>
        <w:pict>
          <v:shape id="_x0000_s1099" type="#_x0000_t202" style="position:absolute;margin-left:608.3pt;margin-top:165.65pt;width:94.4pt;height:34.75pt;z-index:251679744;v-text-anchor:middle" strokecolor="red">
            <v:textbox inset="1mm,.5mm,1mm,.5mm">
              <w:txbxContent>
                <w:p w:rsidR="00ED6928" w:rsidRPr="00B91AD6" w:rsidRDefault="00ED6928" w:rsidP="00B91AD6">
                  <w:pPr>
                    <w:spacing w:afterLines="0" w:line="240" w:lineRule="auto"/>
                    <w:jc w:val="center"/>
                    <w:rPr>
                      <w:color w:val="FF0000"/>
                      <w:lang w:val="da-DK"/>
                    </w:rPr>
                  </w:pPr>
                  <w:r w:rsidRPr="00B91AD6">
                    <w:rPr>
                      <w:color w:val="FF0000"/>
                      <w:lang w:val="da-DK"/>
                    </w:rPr>
                    <w:t>Graphical results</w:t>
                  </w:r>
                </w:p>
              </w:txbxContent>
            </v:textbox>
          </v:shape>
        </w:pict>
      </w:r>
      <w:r w:rsidR="00D914C9">
        <w:rPr>
          <w:noProof/>
        </w:rPr>
        <w:pict>
          <v:shape id="_x0000_s1083" type="#_x0000_t32" style="position:absolute;margin-left:108pt;margin-top:478.55pt;width:28.45pt;height:16.9pt;flip:y;z-index:251666432" o:connectortype="straight">
            <v:stroke endarrow="block"/>
          </v:shape>
        </w:pict>
      </w:r>
      <w:r w:rsidR="00D914C9">
        <w:rPr>
          <w:noProof/>
        </w:rPr>
        <w:pict>
          <v:shape id="_x0000_s1079" type="#_x0000_t32" style="position:absolute;margin-left:77.8pt;margin-top:478.55pt;width:30.2pt;height:16.9pt;flip:x y;z-index:251663360" o:connectortype="straight">
            <v:stroke endarrow="block"/>
          </v:shape>
        </w:pict>
      </w:r>
      <w:r w:rsidR="00D914C9">
        <w:rPr>
          <w:noProof/>
        </w:rPr>
        <w:pict>
          <v:shape id="_x0000_s1080" type="#_x0000_t32" style="position:absolute;margin-left:100.9pt;margin-top:478.55pt;width:7.1pt;height:16.9pt;flip:x y;z-index:251664384" o:connectortype="straight">
            <v:stroke endarrow="block"/>
          </v:shape>
        </w:pict>
      </w:r>
      <w:r w:rsidRPr="004152CD">
        <w:drawing>
          <wp:inline distT="0" distB="0" distL="0" distR="0">
            <wp:extent cx="7889240" cy="602488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srcRect t="18182" r="19386" b="2540"/>
                    <a:stretch>
                      <a:fillRect/>
                    </a:stretch>
                  </pic:blipFill>
                  <pic:spPr bwMode="auto">
                    <a:xfrm>
                      <a:off x="0" y="0"/>
                      <a:ext cx="7889240" cy="6024880"/>
                    </a:xfrm>
                    <a:prstGeom prst="rect">
                      <a:avLst/>
                    </a:prstGeom>
                    <a:noFill/>
                    <a:ln w="9525">
                      <a:noFill/>
                      <a:miter lim="800000"/>
                      <a:headEnd/>
                      <a:tailEnd/>
                    </a:ln>
                  </pic:spPr>
                </pic:pic>
              </a:graphicData>
            </a:graphic>
          </wp:inline>
        </w:drawing>
      </w:r>
    </w:p>
    <w:p w:rsidR="00B91AD6" w:rsidRDefault="00D914C9" w:rsidP="00257857">
      <w:pPr>
        <w:spacing w:afterLines="0" w:line="240" w:lineRule="auto"/>
      </w:pPr>
      <w:r>
        <w:rPr>
          <w:noProof/>
        </w:rPr>
        <w:pict>
          <v:shape id="_x0000_s1082" type="#_x0000_t202" style="position:absolute;margin-left:77.8pt;margin-top:15.9pt;width:76.45pt;height:31.1pt;z-index:251665408;v-text-anchor:middle">
            <v:textbox style="mso-next-textbox:#_x0000_s1082" inset="1mm,.5mm,1mm,.5mm">
              <w:txbxContent>
                <w:p w:rsidR="00ED6928" w:rsidRPr="004105F0" w:rsidRDefault="00ED6928" w:rsidP="004105F0">
                  <w:pPr>
                    <w:spacing w:afterLines="0" w:line="240" w:lineRule="auto"/>
                    <w:jc w:val="center"/>
                    <w:rPr>
                      <w:lang w:val="da-DK"/>
                    </w:rPr>
                  </w:pPr>
                  <w:r>
                    <w:rPr>
                      <w:lang w:val="da-DK"/>
                    </w:rPr>
                    <w:t>Choice of the source model</w:t>
                  </w:r>
                </w:p>
              </w:txbxContent>
            </v:textbox>
          </v:shape>
        </w:pict>
      </w:r>
      <w:r w:rsidR="00B91AD6">
        <w:br w:type="page"/>
      </w:r>
    </w:p>
    <w:p w:rsidR="007F3850" w:rsidRDefault="007F3850" w:rsidP="007F3850">
      <w:pPr>
        <w:spacing w:afterLines="0" w:line="240" w:lineRule="auto"/>
      </w:pPr>
      <w:r>
        <w:lastRenderedPageBreak/>
        <w:t>Spreadsheet organization</w:t>
      </w:r>
      <w:r w:rsidR="00DA16B9">
        <w:t xml:space="preserve"> – example for a fractured low-permeability media (source trapped in the matrix, model 2)</w:t>
      </w:r>
    </w:p>
    <w:p w:rsidR="007F3850" w:rsidRDefault="00CC6494" w:rsidP="007F3850">
      <w:pPr>
        <w:spacing w:afterLines="0" w:line="240" w:lineRule="auto"/>
      </w:pPr>
      <w:r>
        <w:rPr>
          <w:noProof/>
        </w:rPr>
        <w:pict>
          <v:shape id="_x0000_s1231" type="#_x0000_t202" style="position:absolute;margin-left:216.3pt;margin-top:407.9pt;width:131.85pt;height:45.6pt;z-index:251783168;v-text-anchor:middle" strokecolor="#0c0">
            <v:textbox style="mso-next-textbox:#_x0000_s1231" inset="1mm,.5mm,1mm,.5mm">
              <w:txbxContent>
                <w:p w:rsidR="00ED6928" w:rsidRPr="00D57313" w:rsidRDefault="00ED6928" w:rsidP="00D57313">
                  <w:pPr>
                    <w:spacing w:afterLines="0" w:line="240" w:lineRule="auto"/>
                    <w:jc w:val="center"/>
                    <w:rPr>
                      <w:color w:val="00CC00"/>
                    </w:rPr>
                  </w:pPr>
                  <w:r w:rsidRPr="00D57313">
                    <w:rPr>
                      <w:color w:val="00CC00"/>
                    </w:rPr>
                    <w:t>Validity of single fracture assumption</w:t>
                  </w:r>
                  <w:r>
                    <w:rPr>
                      <w:color w:val="00CC00"/>
                    </w:rPr>
                    <w:t xml:space="preserve"> – red times should be disregarded</w:t>
                  </w:r>
                </w:p>
                <w:p w:rsidR="00ED6928" w:rsidRPr="00D57313" w:rsidRDefault="00ED6928" w:rsidP="00D57313">
                  <w:pPr>
                    <w:spacing w:after="480"/>
                  </w:pPr>
                </w:p>
              </w:txbxContent>
            </v:textbox>
          </v:shape>
        </w:pict>
      </w:r>
      <w:r w:rsidR="004152CD">
        <w:rPr>
          <w:noProof/>
        </w:rPr>
        <w:pict>
          <v:shape id="_x0000_s1150" type="#_x0000_t202" style="position:absolute;margin-left:39.55pt;margin-top:30.45pt;width:96.9pt;height:34.75pt;z-index:251732992;v-text-anchor:middle" strokecolor="#e36c0a [2409]">
            <v:textbox style="mso-next-textbox:#_x0000_s1150" inset="1mm,.5mm,1mm,.5mm">
              <w:txbxContent>
                <w:p w:rsidR="00ED6928" w:rsidRPr="007F3850" w:rsidRDefault="00ED6928" w:rsidP="007F3850">
                  <w:pPr>
                    <w:spacing w:afterLines="0" w:line="240" w:lineRule="auto"/>
                    <w:jc w:val="center"/>
                    <w:rPr>
                      <w:color w:val="E36C0A" w:themeColor="accent6" w:themeShade="BF"/>
                      <w:lang w:val="da-DK"/>
                    </w:rPr>
                  </w:pPr>
                  <w:r w:rsidRPr="007F3850">
                    <w:rPr>
                      <w:color w:val="E36C0A" w:themeColor="accent6" w:themeShade="BF"/>
                      <w:lang w:val="da-DK"/>
                    </w:rPr>
                    <w:t>Choice of conceptual models</w:t>
                  </w:r>
                </w:p>
              </w:txbxContent>
            </v:textbox>
          </v:shape>
        </w:pict>
      </w:r>
      <w:r w:rsidR="00D57313">
        <w:rPr>
          <w:noProof/>
        </w:rPr>
        <w:pict>
          <v:shape id="_x0000_s1233" type="#_x0000_t32" style="position:absolute;margin-left:144.9pt;margin-top:420.7pt;width:75.9pt;height:39.2pt;flip:x;z-index:251782144" o:connectortype="straight">
            <v:stroke endarrow="block"/>
          </v:shape>
        </w:pict>
      </w:r>
      <w:r w:rsidR="00D57313">
        <w:rPr>
          <w:noProof/>
        </w:rPr>
        <w:pict>
          <v:shape id="_x0000_s1232" type="#_x0000_t32" style="position:absolute;margin-left:144.9pt;margin-top:395.1pt;width:75.9pt;height:25.6pt;flip:x y;z-index:251781120" o:connectortype="straight">
            <v:stroke endarrow="block"/>
          </v:shape>
        </w:pict>
      </w:r>
      <w:r w:rsidR="00D57313">
        <w:rPr>
          <w:noProof/>
        </w:rPr>
        <w:pict>
          <v:rect id="_x0000_s1230" style="position:absolute;margin-left:16.05pt;margin-top:379.1pt;width:163.15pt;height:16pt;z-index:251779072" filled="f" strokecolor="#0c0" strokeweight="1.5pt"/>
        </w:pict>
      </w:r>
      <w:r w:rsidR="00D57313">
        <w:rPr>
          <w:noProof/>
        </w:rPr>
        <w:pict>
          <v:shape id="_x0000_s1144" type="#_x0000_t32" style="position:absolute;margin-left:267.1pt;margin-top:239.1pt;width:29.7pt;height:95.45pt;flip:y;z-index:251726848" o:connectortype="straight">
            <v:stroke endarrow="block"/>
          </v:shape>
        </w:pict>
      </w:r>
      <w:r w:rsidR="00D57313">
        <w:rPr>
          <w:noProof/>
        </w:rPr>
        <w:pict>
          <v:shape id="_x0000_s1143" type="#_x0000_t32" style="position:absolute;margin-left:179.2pt;margin-top:362.45pt;width:80.8pt;height:4.05pt;flip:x;z-index:251725824" o:connectortype="straight">
            <v:stroke endarrow="block"/>
          </v:shape>
        </w:pict>
      </w:r>
      <w:r w:rsidR="00D57313">
        <w:rPr>
          <w:noProof/>
        </w:rPr>
        <w:pict>
          <v:shape id="_x0000_s1146" type="#_x0000_t32" style="position:absolute;margin-left:96.8pt;margin-top:362.45pt;width:163.2pt;height:85.45pt;flip:x;z-index:251728896" o:connectortype="straight">
            <v:stroke endarrow="block"/>
          </v:shape>
        </w:pict>
      </w:r>
      <w:r w:rsidR="00D57313">
        <w:rPr>
          <w:noProof/>
        </w:rPr>
        <w:pict>
          <v:shape id="_x0000_s1145" type="#_x0000_t202" style="position:absolute;margin-left:205.1pt;margin-top:330.55pt;width:131.85pt;height:31.9pt;z-index:251727872;v-text-anchor:middle" strokecolor="red">
            <v:textbox style="mso-next-textbox:#_x0000_s1145" inset="1mm,.5mm,1mm,.5mm">
              <w:txbxContent>
                <w:p w:rsidR="00ED6928" w:rsidRPr="00DF15FD" w:rsidRDefault="00ED6928" w:rsidP="00D57313">
                  <w:pPr>
                    <w:spacing w:afterLines="0" w:line="240" w:lineRule="auto"/>
                    <w:jc w:val="center"/>
                    <w:rPr>
                      <w:color w:val="FF0000"/>
                    </w:rPr>
                  </w:pPr>
                  <w:r w:rsidRPr="00DF15FD">
                    <w:rPr>
                      <w:color w:val="FF0000"/>
                    </w:rPr>
                    <w:t>Fixed</w:t>
                  </w:r>
                  <w:r>
                    <w:rPr>
                      <w:color w:val="FF0000"/>
                    </w:rPr>
                    <w:t xml:space="preserve"> depth (z), leaching concentra</w:t>
                  </w:r>
                  <w:r w:rsidRPr="00DF15FD">
                    <w:rPr>
                      <w:color w:val="FF0000"/>
                    </w:rPr>
                    <w:t>tion w</w:t>
                  </w:r>
                  <w:r>
                    <w:rPr>
                      <w:color w:val="FF0000"/>
                    </w:rPr>
                    <w:t>ith time</w:t>
                  </w:r>
                </w:p>
                <w:p w:rsidR="00ED6928" w:rsidRPr="00D57313" w:rsidRDefault="00ED6928" w:rsidP="00D57313">
                  <w:pPr>
                    <w:spacing w:after="480"/>
                  </w:pPr>
                </w:p>
              </w:txbxContent>
            </v:textbox>
          </v:shape>
        </w:pict>
      </w:r>
      <w:r w:rsidR="00D57313">
        <w:rPr>
          <w:noProof/>
        </w:rPr>
        <w:pict>
          <v:rect id="_x0000_s1149" style="position:absolute;margin-left:16.85pt;margin-top:19pt;width:159.6pt;height:23.15pt;z-index:251731968" filled="f" strokecolor="#e36c0a [2409]" strokeweight="1.5pt"/>
        </w:pict>
      </w:r>
      <w:r w:rsidR="00D57313">
        <w:rPr>
          <w:noProof/>
        </w:rPr>
        <w:pict>
          <v:rect id="_x0000_s1141" style="position:absolute;margin-left:16.05pt;margin-top:73.45pt;width:163.15pt;height:89pt;z-index:251723776" filled="f" strokecolor="yellow" strokeweight="1.5pt"/>
        </w:pict>
      </w:r>
      <w:r w:rsidR="00D57313">
        <w:rPr>
          <w:noProof/>
        </w:rPr>
        <w:pict>
          <v:rect id="_x0000_s1139" style="position:absolute;margin-left:176.45pt;margin-top:395.1pt;width:393.15pt;height:77.6pt;z-index:251721728" filled="f" strokecolor="#f3c" strokeweight="1.5pt"/>
        </w:pict>
      </w:r>
      <w:r w:rsidR="00D57313">
        <w:rPr>
          <w:noProof/>
        </w:rPr>
        <w:pict>
          <v:rect id="_x0000_s1137" style="position:absolute;margin-left:231.35pt;margin-top:58.3pt;width:348.65pt;height:188.6pt;z-index:251719680" filled="f" strokecolor="red" strokeweight="1.5pt"/>
        </w:pict>
      </w:r>
      <w:r w:rsidR="00D914C9">
        <w:rPr>
          <w:noProof/>
        </w:rPr>
        <w:pict>
          <v:shape id="_x0000_s1148" type="#_x0000_t202" style="position:absolute;margin-left:483.7pt;margin-top:323.1pt;width:124.95pt;height:56pt;z-index:251730944;v-text-anchor:middle" strokecolor="#b8cce4 [1300]" strokeweight="1.5pt">
            <v:textbox style="mso-next-textbox:#_x0000_s1148" inset="1mm,.5mm,1mm,.5mm">
              <w:txbxContent>
                <w:p w:rsidR="00ED6928" w:rsidRPr="00DF15FD" w:rsidRDefault="00ED6928" w:rsidP="007F3850">
                  <w:pPr>
                    <w:spacing w:afterLines="0" w:line="240" w:lineRule="auto"/>
                    <w:rPr>
                      <w:b/>
                      <w:color w:val="8DB3E2" w:themeColor="text2" w:themeTint="66"/>
                    </w:rPr>
                  </w:pPr>
                  <w:r w:rsidRPr="00DF15FD">
                    <w:rPr>
                      <w:b/>
                      <w:color w:val="8DB3E2" w:themeColor="text2" w:themeTint="66"/>
                    </w:rPr>
                    <w:t>In light blue, parameters necessary for calculations and calculated from dark blue parameters</w:t>
                  </w:r>
                </w:p>
              </w:txbxContent>
            </v:textbox>
          </v:shape>
        </w:pict>
      </w:r>
      <w:r w:rsidR="00D914C9">
        <w:rPr>
          <w:noProof/>
        </w:rPr>
        <w:pict>
          <v:shape id="_x0000_s1147" type="#_x0000_t202" style="position:absolute;margin-left:348.15pt;margin-top:298.2pt;width:124.95pt;height:56pt;z-index:251729920;v-text-anchor:middle" strokecolor="#0070c0" strokeweight="1.5pt">
            <v:textbox style="mso-next-textbox:#_x0000_s1147" inset="1mm,.5mm,1mm,.5mm">
              <w:txbxContent>
                <w:p w:rsidR="00ED6928" w:rsidRPr="00DF15FD" w:rsidRDefault="00ED6928" w:rsidP="007F3850">
                  <w:pPr>
                    <w:spacing w:afterLines="0" w:line="240" w:lineRule="auto"/>
                    <w:rPr>
                      <w:b/>
                      <w:color w:val="0070C0"/>
                    </w:rPr>
                  </w:pPr>
                  <w:r w:rsidRPr="00DF15FD">
                    <w:rPr>
                      <w:b/>
                      <w:color w:val="0070C0"/>
                    </w:rPr>
                    <w:t>In dark blue, input parameters necessary for calculations and provided by the user</w:t>
                  </w:r>
                </w:p>
              </w:txbxContent>
            </v:textbox>
          </v:shape>
        </w:pict>
      </w:r>
      <w:r w:rsidR="00D914C9">
        <w:rPr>
          <w:noProof/>
        </w:rPr>
        <w:pict>
          <v:shape id="_x0000_s1140" type="#_x0000_t202" style="position:absolute;margin-left:553.35pt;margin-top:424.7pt;width:60.4pt;height:34.75pt;z-index:251722752;v-text-anchor:middle" strokecolor="#f3c">
            <v:textbox style="mso-next-textbox:#_x0000_s1140" inset="1mm,.5mm,1mm,.5mm">
              <w:txbxContent>
                <w:p w:rsidR="00ED6928" w:rsidRPr="00B91AD6" w:rsidRDefault="00ED6928" w:rsidP="007F3850">
                  <w:pPr>
                    <w:spacing w:afterLines="0" w:line="240" w:lineRule="auto"/>
                    <w:jc w:val="center"/>
                    <w:rPr>
                      <w:color w:val="FF33CC"/>
                      <w:lang w:val="da-DK"/>
                    </w:rPr>
                  </w:pPr>
                  <w:r w:rsidRPr="00B91AD6">
                    <w:rPr>
                      <w:color w:val="FF33CC"/>
                      <w:lang w:val="da-DK"/>
                    </w:rPr>
                    <w:t>Results</w:t>
                  </w:r>
                </w:p>
              </w:txbxContent>
            </v:textbox>
          </v:shape>
        </w:pict>
      </w:r>
      <w:r w:rsidR="00D914C9">
        <w:rPr>
          <w:noProof/>
        </w:rPr>
        <w:pict>
          <v:shape id="_x0000_s1169" type="#_x0000_t202" style="position:absolute;margin-left:68.45pt;margin-top:495.45pt;width:76.45pt;height:31.1pt;z-index:251734016;v-text-anchor:middle">
            <v:textbox style="mso-next-textbox:#_x0000_s1169" inset="1mm,.5mm,1mm,.5mm">
              <w:txbxContent>
                <w:p w:rsidR="00ED6928" w:rsidRPr="004105F0" w:rsidRDefault="00ED6928" w:rsidP="007F3850">
                  <w:pPr>
                    <w:spacing w:afterLines="0" w:line="240" w:lineRule="auto"/>
                    <w:jc w:val="center"/>
                    <w:rPr>
                      <w:lang w:val="da-DK"/>
                    </w:rPr>
                  </w:pPr>
                  <w:r>
                    <w:rPr>
                      <w:lang w:val="da-DK"/>
                    </w:rPr>
                    <w:t>Choice of the source model</w:t>
                  </w:r>
                </w:p>
              </w:txbxContent>
            </v:textbox>
          </v:shape>
        </w:pict>
      </w:r>
      <w:r w:rsidR="00D914C9">
        <w:rPr>
          <w:noProof/>
        </w:rPr>
        <w:pict>
          <v:shape id="_x0000_s1138" type="#_x0000_t202" style="position:absolute;margin-left:563.3pt;margin-top:165.65pt;width:94.4pt;height:34.75pt;z-index:251720704;v-text-anchor:middle" strokecolor="red">
            <v:textbox style="mso-next-textbox:#_x0000_s1138" inset="1mm,.5mm,1mm,.5mm">
              <w:txbxContent>
                <w:p w:rsidR="00ED6928" w:rsidRPr="00B91AD6" w:rsidRDefault="00ED6928" w:rsidP="007F3850">
                  <w:pPr>
                    <w:spacing w:afterLines="0" w:line="240" w:lineRule="auto"/>
                    <w:jc w:val="center"/>
                    <w:rPr>
                      <w:color w:val="FF0000"/>
                      <w:lang w:val="da-DK"/>
                    </w:rPr>
                  </w:pPr>
                  <w:r w:rsidRPr="00B91AD6">
                    <w:rPr>
                      <w:color w:val="FF0000"/>
                      <w:lang w:val="da-DK"/>
                    </w:rPr>
                    <w:t>Graphical results</w:t>
                  </w:r>
                </w:p>
              </w:txbxContent>
            </v:textbox>
          </v:shape>
        </w:pict>
      </w:r>
      <w:r w:rsidR="00D914C9">
        <w:rPr>
          <w:noProof/>
        </w:rPr>
        <w:pict>
          <v:shape id="_x0000_s1142" type="#_x0000_t202" style="position:absolute;margin-left:136.45pt;margin-top:65.2pt;width:103.7pt;height:48.05pt;z-index:251724800;v-text-anchor:middle" strokecolor="yellow">
            <v:textbox style="mso-next-textbox:#_x0000_s1142" inset="1mm,.5mm,1mm,.5mm">
              <w:txbxContent>
                <w:p w:rsidR="00ED6928" w:rsidRPr="00DF15FD" w:rsidRDefault="00ED6928" w:rsidP="007F3850">
                  <w:pPr>
                    <w:spacing w:afterLines="0" w:line="240" w:lineRule="auto"/>
                    <w:jc w:val="center"/>
                    <w:rPr>
                      <w:color w:val="FFC000"/>
                    </w:rPr>
                  </w:pPr>
                  <w:r w:rsidRPr="00DF15FD">
                    <w:rPr>
                      <w:color w:val="FFC000"/>
                    </w:rPr>
                    <w:t>Input parameters used for calculations</w:t>
                  </w:r>
                </w:p>
              </w:txbxContent>
            </v:textbox>
          </v:shape>
        </w:pict>
      </w:r>
      <w:r w:rsidR="00D914C9">
        <w:rPr>
          <w:noProof/>
        </w:rPr>
        <w:pict>
          <v:shape id="_x0000_s1136" type="#_x0000_t32" style="position:absolute;margin-left:108pt;margin-top:478.55pt;width:28.45pt;height:16.9pt;flip:y;z-index:251718656" o:connectortype="straight">
            <v:stroke endarrow="block"/>
          </v:shape>
        </w:pict>
      </w:r>
      <w:r w:rsidR="00D914C9">
        <w:rPr>
          <w:noProof/>
        </w:rPr>
        <w:pict>
          <v:shape id="_x0000_s1133" type="#_x0000_t32" style="position:absolute;margin-left:77.8pt;margin-top:478.55pt;width:30.2pt;height:16.9pt;flip:x y;z-index:251715584" o:connectortype="straight">
            <v:stroke endarrow="block"/>
          </v:shape>
        </w:pict>
      </w:r>
      <w:r w:rsidR="00D914C9">
        <w:rPr>
          <w:noProof/>
        </w:rPr>
        <w:pict>
          <v:shape id="_x0000_s1134" type="#_x0000_t32" style="position:absolute;margin-left:100.9pt;margin-top:478.55pt;width:7.1pt;height:16.9pt;flip:x y;z-index:251716608" o:connectortype="straight">
            <v:stroke endarrow="block"/>
          </v:shape>
        </w:pict>
      </w:r>
      <w:r w:rsidR="00D57313" w:rsidRPr="00D57313">
        <w:drawing>
          <wp:inline distT="0" distB="0" distL="0" distR="0">
            <wp:extent cx="7600950" cy="6149026"/>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srcRect t="17914" r="23490" b="2501"/>
                    <a:stretch>
                      <a:fillRect/>
                    </a:stretch>
                  </pic:blipFill>
                  <pic:spPr bwMode="auto">
                    <a:xfrm>
                      <a:off x="0" y="0"/>
                      <a:ext cx="7600950" cy="6149026"/>
                    </a:xfrm>
                    <a:prstGeom prst="rect">
                      <a:avLst/>
                    </a:prstGeom>
                    <a:noFill/>
                    <a:ln w="9525">
                      <a:noFill/>
                      <a:miter lim="800000"/>
                      <a:headEnd/>
                      <a:tailEnd/>
                    </a:ln>
                  </pic:spPr>
                </pic:pic>
              </a:graphicData>
            </a:graphic>
          </wp:inline>
        </w:drawing>
      </w:r>
    </w:p>
    <w:p w:rsidR="00DA16B9" w:rsidRDefault="007F3850" w:rsidP="00DA16B9">
      <w:pPr>
        <w:spacing w:afterLines="0" w:line="240" w:lineRule="auto"/>
      </w:pPr>
      <w:r>
        <w:br w:type="page"/>
      </w:r>
      <w:r w:rsidR="00DA16B9">
        <w:t>Spreadsheet organization – example for a non-fractured low-permeability media, with advection/dispersion (overlying source for 20 years, model 1a)</w:t>
      </w:r>
    </w:p>
    <w:p w:rsidR="00DA16B9" w:rsidRDefault="00D914C9" w:rsidP="00DA16B9">
      <w:pPr>
        <w:spacing w:afterLines="0" w:line="240" w:lineRule="auto"/>
      </w:pPr>
      <w:r>
        <w:rPr>
          <w:noProof/>
        </w:rPr>
        <w:pict>
          <v:shape id="_x0000_s1225" type="#_x0000_t202" style="position:absolute;margin-left:367.15pt;margin-top:365.6pt;width:71.5pt;height:34.75pt;z-index:251774976;v-text-anchor:middle" strokecolor="#f3c">
            <v:textbox inset="1mm,.5mm,1mm,.5mm">
              <w:txbxContent>
                <w:p w:rsidR="00ED6928" w:rsidRPr="00B91AD6" w:rsidRDefault="00ED6928" w:rsidP="00DA16B9">
                  <w:pPr>
                    <w:spacing w:afterLines="0" w:line="240" w:lineRule="auto"/>
                    <w:jc w:val="center"/>
                    <w:rPr>
                      <w:color w:val="FF33CC"/>
                      <w:lang w:val="da-DK"/>
                    </w:rPr>
                  </w:pPr>
                  <w:r>
                    <w:rPr>
                      <w:color w:val="FF33CC"/>
                      <w:lang w:val="da-DK"/>
                    </w:rPr>
                    <w:t>No solution for fractures</w:t>
                  </w:r>
                </w:p>
              </w:txbxContent>
            </v:textbox>
          </v:shape>
        </w:pict>
      </w:r>
      <w:r>
        <w:rPr>
          <w:noProof/>
        </w:rPr>
        <w:pict>
          <v:shape id="_x0000_s1224" type="#_x0000_t32" style="position:absolute;margin-left:378.2pt;margin-top:400.35pt;width:14.25pt;height:33.75pt;flip:x;z-index:251773952" o:connectortype="straight" strokecolor="#f3c" strokeweight="2.25pt">
            <v:stroke endarrow="block"/>
          </v:shape>
        </w:pict>
      </w:r>
      <w:r>
        <w:rPr>
          <w:noProof/>
        </w:rPr>
        <w:pict>
          <v:rect id="_x0000_s1194" style="position:absolute;margin-left:220.7pt;margin-top:411pt;width:391.3pt;height:58.7pt;z-index:251742208" filled="f" strokecolor="#f3c" strokeweight="1.5pt"/>
        </w:pict>
      </w:r>
      <w:r>
        <w:rPr>
          <w:noProof/>
        </w:rPr>
        <w:pict>
          <v:rect id="_x0000_s1196" style="position:absolute;margin-left:17.65pt;margin-top:88.35pt;width:154.35pt;height:97.75pt;z-index:251744256" filled="f" strokecolor="yellow" strokeweight="1.5pt"/>
        </w:pict>
      </w:r>
      <w:r>
        <w:rPr>
          <w:noProof/>
        </w:rPr>
        <w:pict>
          <v:shape id="_x0000_s1205" type="#_x0000_t202" style="position:absolute;margin-left:177.35pt;margin-top:21.65pt;width:96.9pt;height:34.75pt;z-index:251753472;v-text-anchor:middle" strokecolor="#e36c0a [2409]">
            <v:textbox style="mso-next-textbox:#_x0000_s1205" inset="1mm,.5mm,1mm,.5mm">
              <w:txbxContent>
                <w:p w:rsidR="00ED6928" w:rsidRPr="007F3850" w:rsidRDefault="00ED6928" w:rsidP="00DA16B9">
                  <w:pPr>
                    <w:spacing w:afterLines="0" w:line="240" w:lineRule="auto"/>
                    <w:jc w:val="center"/>
                    <w:rPr>
                      <w:color w:val="E36C0A" w:themeColor="accent6" w:themeShade="BF"/>
                      <w:lang w:val="da-DK"/>
                    </w:rPr>
                  </w:pPr>
                  <w:r w:rsidRPr="007F3850">
                    <w:rPr>
                      <w:color w:val="E36C0A" w:themeColor="accent6" w:themeShade="BF"/>
                      <w:lang w:val="da-DK"/>
                    </w:rPr>
                    <w:t>Choice of conceptual models</w:t>
                  </w:r>
                </w:p>
              </w:txbxContent>
            </v:textbox>
          </v:shape>
        </w:pict>
      </w:r>
      <w:r>
        <w:rPr>
          <w:noProof/>
        </w:rPr>
        <w:pict>
          <v:rect id="_x0000_s1204" style="position:absolute;margin-left:15.85pt;margin-top:28.75pt;width:154.35pt;height:23.15pt;z-index:251752448" filled="f" strokecolor="#e36c0a [2409]" strokeweight="1.5pt"/>
        </w:pict>
      </w:r>
      <w:r>
        <w:rPr>
          <w:noProof/>
        </w:rPr>
        <w:pict>
          <v:shape id="_x0000_s1197" type="#_x0000_t202" style="position:absolute;margin-left:136.45pt;margin-top:65.2pt;width:103.7pt;height:48.05pt;z-index:251745280;v-text-anchor:middle" strokecolor="yellow">
            <v:textbox inset="1mm,.5mm,1mm,.5mm">
              <w:txbxContent>
                <w:p w:rsidR="00ED6928" w:rsidRPr="00DF15FD" w:rsidRDefault="00ED6928" w:rsidP="00DA16B9">
                  <w:pPr>
                    <w:spacing w:afterLines="0" w:line="240" w:lineRule="auto"/>
                    <w:jc w:val="center"/>
                    <w:rPr>
                      <w:color w:val="FFC000"/>
                    </w:rPr>
                  </w:pPr>
                  <w:r w:rsidRPr="00DF15FD">
                    <w:rPr>
                      <w:color w:val="FFC000"/>
                    </w:rPr>
                    <w:t>Input parameters used for calculations</w:t>
                  </w:r>
                </w:p>
              </w:txbxContent>
            </v:textbox>
          </v:shape>
        </w:pict>
      </w:r>
      <w:r>
        <w:rPr>
          <w:noProof/>
        </w:rPr>
        <w:pict>
          <v:shape id="_x0000_s1202" type="#_x0000_t202" style="position:absolute;margin-left:341.9pt;margin-top:287.45pt;width:124.95pt;height:56pt;z-index:251750400;v-text-anchor:middle" strokecolor="#0070c0" strokeweight="1.5pt">
            <v:textbox inset="1mm,.5mm,1mm,.5mm">
              <w:txbxContent>
                <w:p w:rsidR="00ED6928" w:rsidRPr="00DF15FD" w:rsidRDefault="00ED6928" w:rsidP="00DA16B9">
                  <w:pPr>
                    <w:spacing w:afterLines="0" w:line="240" w:lineRule="auto"/>
                    <w:rPr>
                      <w:b/>
                      <w:color w:val="0070C0"/>
                    </w:rPr>
                  </w:pPr>
                  <w:r w:rsidRPr="00DF15FD">
                    <w:rPr>
                      <w:b/>
                      <w:color w:val="0070C0"/>
                    </w:rPr>
                    <w:t>In dark blue, input parameters necessary for calculations and provided by the user</w:t>
                  </w:r>
                </w:p>
              </w:txbxContent>
            </v:textbox>
          </v:shape>
        </w:pict>
      </w:r>
      <w:r>
        <w:rPr>
          <w:noProof/>
        </w:rPr>
        <w:pict>
          <v:shape id="_x0000_s1203" type="#_x0000_t202" style="position:absolute;margin-left:474.6pt;margin-top:334.55pt;width:124.95pt;height:56pt;z-index:251751424;mso-position-horizontal:absolute;v-text-anchor:middle" strokecolor="#b8cce4 [1300]" strokeweight="1.5pt">
            <v:textbox inset="1mm,.5mm,1mm,.5mm">
              <w:txbxContent>
                <w:p w:rsidR="00ED6928" w:rsidRPr="00DF15FD" w:rsidRDefault="00ED6928" w:rsidP="00DA16B9">
                  <w:pPr>
                    <w:spacing w:afterLines="0" w:line="240" w:lineRule="auto"/>
                    <w:rPr>
                      <w:b/>
                      <w:color w:val="8DB3E2" w:themeColor="text2" w:themeTint="66"/>
                    </w:rPr>
                  </w:pPr>
                  <w:r w:rsidRPr="00DF15FD">
                    <w:rPr>
                      <w:b/>
                      <w:color w:val="8DB3E2" w:themeColor="text2" w:themeTint="66"/>
                    </w:rPr>
                    <w:t>In light blue, parameters necessary for calculations and calculated from dark blue parameters</w:t>
                  </w:r>
                </w:p>
              </w:txbxContent>
            </v:textbox>
          </v:shape>
        </w:pict>
      </w:r>
      <w:r>
        <w:rPr>
          <w:noProof/>
        </w:rPr>
        <w:pict>
          <v:shape id="_x0000_s1201" type="#_x0000_t32" style="position:absolute;margin-left:100.9pt;margin-top:371.95pt;width:166.2pt;height:75.5pt;flip:x;z-index:251749376" o:connectortype="straight">
            <v:stroke endarrow="block"/>
          </v:shape>
        </w:pict>
      </w:r>
      <w:r>
        <w:rPr>
          <w:noProof/>
        </w:rPr>
        <w:pict>
          <v:shape id="_x0000_s1198" type="#_x0000_t32" style="position:absolute;margin-left:170.2pt;margin-top:371.95pt;width:92.45pt;height:28.4pt;flip:x;z-index:251746304" o:connectortype="straight">
            <v:stroke endarrow="block"/>
          </v:shape>
        </w:pict>
      </w:r>
      <w:r>
        <w:rPr>
          <w:noProof/>
        </w:rPr>
        <w:pict>
          <v:shape id="_x0000_s1200" type="#_x0000_t202" style="position:absolute;margin-left:202.05pt;margin-top:337.2pt;width:127.3pt;height:34.75pt;z-index:251748352;v-text-anchor:middle" strokecolor="red">
            <v:textbox inset="1mm,.5mm,1mm,.5mm">
              <w:txbxContent>
                <w:p w:rsidR="00ED6928" w:rsidRPr="00DF15FD" w:rsidRDefault="00ED6928" w:rsidP="00DA16B9">
                  <w:pPr>
                    <w:spacing w:afterLines="0" w:line="240" w:lineRule="auto"/>
                    <w:jc w:val="center"/>
                    <w:rPr>
                      <w:color w:val="FF0000"/>
                    </w:rPr>
                  </w:pPr>
                  <w:r w:rsidRPr="00DF15FD">
                    <w:rPr>
                      <w:color w:val="FF0000"/>
                    </w:rPr>
                    <w:t>Fixed</w:t>
                  </w:r>
                  <w:r>
                    <w:rPr>
                      <w:color w:val="FF0000"/>
                    </w:rPr>
                    <w:t xml:space="preserve"> depth (z), leaching concentra</w:t>
                  </w:r>
                  <w:r w:rsidRPr="00DF15FD">
                    <w:rPr>
                      <w:color w:val="FF0000"/>
                    </w:rPr>
                    <w:t>tion w</w:t>
                  </w:r>
                  <w:r>
                    <w:rPr>
                      <w:color w:val="FF0000"/>
                    </w:rPr>
                    <w:t>ith time</w:t>
                  </w:r>
                </w:p>
              </w:txbxContent>
            </v:textbox>
          </v:shape>
        </w:pict>
      </w:r>
      <w:r>
        <w:rPr>
          <w:noProof/>
        </w:rPr>
        <w:pict>
          <v:shape id="_x0000_s1199" type="#_x0000_t32" style="position:absolute;margin-left:267.1pt;margin-top:265.2pt;width:22.25pt;height:69.35pt;flip:y;z-index:251747328" o:connectortype="straight">
            <v:stroke endarrow="block"/>
          </v:shape>
        </w:pict>
      </w:r>
      <w:r>
        <w:rPr>
          <w:noProof/>
        </w:rPr>
        <w:pict>
          <v:shape id="_x0000_s1195" type="#_x0000_t202" style="position:absolute;margin-left:614.7pt;margin-top:424.7pt;width:60.4pt;height:34.75pt;z-index:251743232;v-text-anchor:middle" strokecolor="#f3c">
            <v:textbox inset="1mm,.5mm,1mm,.5mm">
              <w:txbxContent>
                <w:p w:rsidR="00ED6928" w:rsidRPr="00B91AD6" w:rsidRDefault="00ED6928" w:rsidP="00DA16B9">
                  <w:pPr>
                    <w:spacing w:afterLines="0" w:line="240" w:lineRule="auto"/>
                    <w:jc w:val="center"/>
                    <w:rPr>
                      <w:color w:val="FF33CC"/>
                      <w:lang w:val="da-DK"/>
                    </w:rPr>
                  </w:pPr>
                  <w:r w:rsidRPr="00B91AD6">
                    <w:rPr>
                      <w:color w:val="FF33CC"/>
                      <w:lang w:val="da-DK"/>
                    </w:rPr>
                    <w:t>Results</w:t>
                  </w:r>
                </w:p>
              </w:txbxContent>
            </v:textbox>
          </v:shape>
        </w:pict>
      </w:r>
      <w:r>
        <w:rPr>
          <w:noProof/>
        </w:rPr>
        <w:pict>
          <v:shape id="_x0000_s1193" type="#_x0000_t202" style="position:absolute;margin-left:608.3pt;margin-top:165.65pt;width:94.4pt;height:34.75pt;z-index:251741184;v-text-anchor:middle" strokecolor="red">
            <v:textbox inset="1mm,.5mm,1mm,.5mm">
              <w:txbxContent>
                <w:p w:rsidR="00ED6928" w:rsidRPr="00B91AD6" w:rsidRDefault="00ED6928" w:rsidP="00DA16B9">
                  <w:pPr>
                    <w:spacing w:afterLines="0" w:line="240" w:lineRule="auto"/>
                    <w:jc w:val="center"/>
                    <w:rPr>
                      <w:color w:val="FF0000"/>
                      <w:lang w:val="da-DK"/>
                    </w:rPr>
                  </w:pPr>
                  <w:r w:rsidRPr="00B91AD6">
                    <w:rPr>
                      <w:color w:val="FF0000"/>
                      <w:lang w:val="da-DK"/>
                    </w:rPr>
                    <w:t>Graphical results</w:t>
                  </w:r>
                </w:p>
              </w:txbxContent>
            </v:textbox>
          </v:shape>
        </w:pict>
      </w:r>
      <w:r>
        <w:rPr>
          <w:noProof/>
        </w:rPr>
        <w:pict>
          <v:rect id="_x0000_s1192" style="position:absolute;margin-left:216.3pt;margin-top:71.4pt;width:383.1pt;height:204.45pt;z-index:251740160" filled="f" strokecolor="red" strokeweight="1.5pt"/>
        </w:pict>
      </w:r>
      <w:r>
        <w:rPr>
          <w:noProof/>
        </w:rPr>
        <w:pict>
          <v:shape id="_x0000_s1191" type="#_x0000_t32" style="position:absolute;margin-left:108pt;margin-top:478.55pt;width:28.45pt;height:16.9pt;flip:y;z-index:251739136" o:connectortype="straight">
            <v:stroke endarrow="block"/>
          </v:shape>
        </w:pict>
      </w:r>
      <w:r>
        <w:rPr>
          <w:noProof/>
        </w:rPr>
        <w:pict>
          <v:shape id="_x0000_s1188" type="#_x0000_t32" style="position:absolute;margin-left:77.8pt;margin-top:478.55pt;width:30.2pt;height:16.9pt;flip:x y;z-index:251736064" o:connectortype="straight">
            <v:stroke endarrow="block"/>
          </v:shape>
        </w:pict>
      </w:r>
      <w:r>
        <w:rPr>
          <w:noProof/>
        </w:rPr>
        <w:pict>
          <v:shape id="_x0000_s1189" type="#_x0000_t32" style="position:absolute;margin-left:100.9pt;margin-top:478.55pt;width:7.1pt;height:16.9pt;flip:x y;z-index:251737088" o:connectortype="straight">
            <v:stroke endarrow="block"/>
          </v:shape>
        </w:pict>
      </w:r>
      <w:r w:rsidR="00DA16B9" w:rsidRPr="00DA16B9">
        <w:rPr>
          <w:noProof/>
        </w:rPr>
        <w:drawing>
          <wp:inline distT="0" distB="0" distL="0" distR="0">
            <wp:extent cx="7758995" cy="6094800"/>
            <wp:effectExtent l="19050" t="0" r="0" b="0"/>
            <wp:docPr id="18" name="Pictur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4" cstate="print"/>
                    <a:srcRect t="16642" r="20119" b="2526"/>
                    <a:stretch>
                      <a:fillRect/>
                    </a:stretch>
                  </pic:blipFill>
                  <pic:spPr bwMode="auto">
                    <a:xfrm>
                      <a:off x="0" y="0"/>
                      <a:ext cx="7758995" cy="6094800"/>
                    </a:xfrm>
                    <a:prstGeom prst="rect">
                      <a:avLst/>
                    </a:prstGeom>
                    <a:noFill/>
                    <a:ln w="9525">
                      <a:noFill/>
                      <a:miter lim="800000"/>
                      <a:headEnd/>
                      <a:tailEnd/>
                    </a:ln>
                  </pic:spPr>
                </pic:pic>
              </a:graphicData>
            </a:graphic>
          </wp:inline>
        </w:drawing>
      </w:r>
    </w:p>
    <w:p w:rsidR="00DA16B9" w:rsidRDefault="00D914C9" w:rsidP="00DA16B9">
      <w:pPr>
        <w:spacing w:afterLines="0" w:line="240" w:lineRule="auto"/>
      </w:pPr>
      <w:r>
        <w:rPr>
          <w:noProof/>
        </w:rPr>
        <w:pict>
          <v:shape id="_x0000_s1190" type="#_x0000_t202" style="position:absolute;margin-left:77.8pt;margin-top:15.9pt;width:76.45pt;height:31.1pt;z-index:251738112;v-text-anchor:middle">
            <v:textbox inset="1mm,.5mm,1mm,.5mm">
              <w:txbxContent>
                <w:p w:rsidR="00ED6928" w:rsidRPr="004105F0" w:rsidRDefault="00ED6928" w:rsidP="00DA16B9">
                  <w:pPr>
                    <w:spacing w:afterLines="0" w:line="240" w:lineRule="auto"/>
                    <w:jc w:val="center"/>
                    <w:rPr>
                      <w:lang w:val="da-DK"/>
                    </w:rPr>
                  </w:pPr>
                  <w:r>
                    <w:rPr>
                      <w:lang w:val="da-DK"/>
                    </w:rPr>
                    <w:t>Choice of the source model</w:t>
                  </w:r>
                </w:p>
              </w:txbxContent>
            </v:textbox>
          </v:shape>
        </w:pict>
      </w:r>
      <w:r w:rsidR="00DA16B9">
        <w:br w:type="page"/>
      </w:r>
      <w:r w:rsidR="00DA16B9">
        <w:lastRenderedPageBreak/>
        <w:t>Spreadsheet organization – example for a non-fractured low-permeability media, with diffusion only (overlying source for 20 years, model 1a)</w:t>
      </w:r>
    </w:p>
    <w:p w:rsidR="00DA16B9" w:rsidRDefault="00D914C9" w:rsidP="00DA16B9">
      <w:pPr>
        <w:spacing w:afterLines="0" w:line="240" w:lineRule="auto"/>
      </w:pPr>
      <w:r>
        <w:rPr>
          <w:noProof/>
        </w:rPr>
        <w:pict>
          <v:rect id="_x0000_s1212" style="position:absolute;margin-left:220.7pt;margin-top:411pt;width:391.3pt;height:58.7pt;z-index:251761664" filled="f" strokecolor="#f3c" strokeweight="1.5pt"/>
        </w:pict>
      </w:r>
      <w:r>
        <w:rPr>
          <w:noProof/>
        </w:rPr>
        <w:pict>
          <v:shape id="_x0000_s1228" type="#_x0000_t32" style="position:absolute;margin-left:395.1pt;margin-top:390.95pt;width:120.9pt;height:45.75pt;z-index:251778048" o:connectortype="straight" strokecolor="#f3c" strokeweight="2.25pt">
            <v:stroke endarrow="block"/>
          </v:shape>
        </w:pict>
      </w:r>
      <w:r>
        <w:rPr>
          <w:noProof/>
        </w:rPr>
        <w:pict>
          <v:shape id="_x0000_s1226" type="#_x0000_t32" style="position:absolute;margin-left:380.85pt;margin-top:390.95pt;width:14.25pt;height:33.75pt;flip:x;z-index:251776000" o:connectortype="straight" strokecolor="#f3c" strokeweight="2.25pt">
            <v:stroke endarrow="block"/>
          </v:shape>
        </w:pict>
      </w:r>
      <w:r>
        <w:rPr>
          <w:noProof/>
        </w:rPr>
        <w:pict>
          <v:shape id="_x0000_s1227" type="#_x0000_t202" style="position:absolute;margin-left:350.65pt;margin-top:355.8pt;width:103.75pt;height:34.75pt;z-index:251777024;v-text-anchor:middle" strokecolor="#f3c">
            <v:textbox inset="1mm,.5mm,1mm,.5mm">
              <w:txbxContent>
                <w:p w:rsidR="00ED6928" w:rsidRPr="00DA16B9" w:rsidRDefault="00ED6928" w:rsidP="00DA16B9">
                  <w:pPr>
                    <w:spacing w:afterLines="0" w:line="240" w:lineRule="auto"/>
                    <w:jc w:val="center"/>
                    <w:rPr>
                      <w:color w:val="FF33CC"/>
                    </w:rPr>
                  </w:pPr>
                  <w:r w:rsidRPr="00DA16B9">
                    <w:rPr>
                      <w:color w:val="FF33CC"/>
                    </w:rPr>
                    <w:t>No solution for fractures and E</w:t>
                  </w:r>
                  <w:r>
                    <w:rPr>
                      <w:color w:val="FF33CC"/>
                    </w:rPr>
                    <w:t>PM</w:t>
                  </w:r>
                </w:p>
              </w:txbxContent>
            </v:textbox>
          </v:shape>
        </w:pict>
      </w:r>
      <w:r>
        <w:rPr>
          <w:noProof/>
        </w:rPr>
        <w:pict>
          <v:rect id="_x0000_s1214" style="position:absolute;margin-left:17.65pt;margin-top:88.35pt;width:154.35pt;height:97.75pt;z-index:251763712" filled="f" strokecolor="yellow" strokeweight="1.5pt"/>
        </w:pict>
      </w:r>
      <w:r>
        <w:rPr>
          <w:noProof/>
        </w:rPr>
        <w:pict>
          <v:shape id="_x0000_s1223" type="#_x0000_t202" style="position:absolute;margin-left:177.35pt;margin-top:21.65pt;width:96.9pt;height:34.75pt;z-index:251772928;v-text-anchor:middle" strokecolor="#e36c0a [2409]">
            <v:textbox style="mso-next-textbox:#_x0000_s1223" inset="1mm,.5mm,1mm,.5mm">
              <w:txbxContent>
                <w:p w:rsidR="00ED6928" w:rsidRPr="007F3850" w:rsidRDefault="00ED6928" w:rsidP="00DA16B9">
                  <w:pPr>
                    <w:spacing w:afterLines="0" w:line="240" w:lineRule="auto"/>
                    <w:jc w:val="center"/>
                    <w:rPr>
                      <w:color w:val="E36C0A" w:themeColor="accent6" w:themeShade="BF"/>
                      <w:lang w:val="da-DK"/>
                    </w:rPr>
                  </w:pPr>
                  <w:r w:rsidRPr="007F3850">
                    <w:rPr>
                      <w:color w:val="E36C0A" w:themeColor="accent6" w:themeShade="BF"/>
                      <w:lang w:val="da-DK"/>
                    </w:rPr>
                    <w:t>Choice of conceptual models</w:t>
                  </w:r>
                </w:p>
              </w:txbxContent>
            </v:textbox>
          </v:shape>
        </w:pict>
      </w:r>
      <w:r>
        <w:rPr>
          <w:noProof/>
        </w:rPr>
        <w:pict>
          <v:rect id="_x0000_s1222" style="position:absolute;margin-left:15.85pt;margin-top:28.75pt;width:154.35pt;height:23.15pt;z-index:251771904" filled="f" strokecolor="#e36c0a [2409]" strokeweight="1.5pt"/>
        </w:pict>
      </w:r>
      <w:r>
        <w:rPr>
          <w:noProof/>
        </w:rPr>
        <w:pict>
          <v:shape id="_x0000_s1215" type="#_x0000_t202" style="position:absolute;margin-left:136.45pt;margin-top:65.2pt;width:103.7pt;height:48.05pt;z-index:251764736;v-text-anchor:middle" strokecolor="yellow">
            <v:textbox inset="1mm,.5mm,1mm,.5mm">
              <w:txbxContent>
                <w:p w:rsidR="00ED6928" w:rsidRPr="00DF15FD" w:rsidRDefault="00ED6928" w:rsidP="00DA16B9">
                  <w:pPr>
                    <w:spacing w:afterLines="0" w:line="240" w:lineRule="auto"/>
                    <w:jc w:val="center"/>
                    <w:rPr>
                      <w:color w:val="FFC000"/>
                    </w:rPr>
                  </w:pPr>
                  <w:r w:rsidRPr="00DF15FD">
                    <w:rPr>
                      <w:color w:val="FFC000"/>
                    </w:rPr>
                    <w:t>Input parameters used for calculations</w:t>
                  </w:r>
                </w:p>
              </w:txbxContent>
            </v:textbox>
          </v:shape>
        </w:pict>
      </w:r>
      <w:r>
        <w:rPr>
          <w:noProof/>
        </w:rPr>
        <w:pict>
          <v:shape id="_x0000_s1220" type="#_x0000_t202" style="position:absolute;margin-left:341.9pt;margin-top:287.45pt;width:124.95pt;height:56pt;z-index:251769856;v-text-anchor:middle" strokecolor="#0070c0" strokeweight="1.5pt">
            <v:textbox inset="1mm,.5mm,1mm,.5mm">
              <w:txbxContent>
                <w:p w:rsidR="00ED6928" w:rsidRPr="00DF15FD" w:rsidRDefault="00ED6928" w:rsidP="00DA16B9">
                  <w:pPr>
                    <w:spacing w:afterLines="0" w:line="240" w:lineRule="auto"/>
                    <w:rPr>
                      <w:b/>
                      <w:color w:val="0070C0"/>
                    </w:rPr>
                  </w:pPr>
                  <w:r w:rsidRPr="00DF15FD">
                    <w:rPr>
                      <w:b/>
                      <w:color w:val="0070C0"/>
                    </w:rPr>
                    <w:t>In dark blue, input parameters necessary for calculations and provided by the user</w:t>
                  </w:r>
                </w:p>
              </w:txbxContent>
            </v:textbox>
          </v:shape>
        </w:pict>
      </w:r>
      <w:r>
        <w:rPr>
          <w:noProof/>
        </w:rPr>
        <w:pict>
          <v:shape id="_x0000_s1221" type="#_x0000_t202" style="position:absolute;margin-left:474.6pt;margin-top:334.55pt;width:124.95pt;height:56pt;z-index:251770880;mso-position-horizontal:absolute;v-text-anchor:middle" strokecolor="#b8cce4 [1300]" strokeweight="1.5pt">
            <v:textbox inset="1mm,.5mm,1mm,.5mm">
              <w:txbxContent>
                <w:p w:rsidR="00ED6928" w:rsidRPr="00DF15FD" w:rsidRDefault="00ED6928" w:rsidP="00DA16B9">
                  <w:pPr>
                    <w:spacing w:afterLines="0" w:line="240" w:lineRule="auto"/>
                    <w:rPr>
                      <w:b/>
                      <w:color w:val="8DB3E2" w:themeColor="text2" w:themeTint="66"/>
                    </w:rPr>
                  </w:pPr>
                  <w:r w:rsidRPr="00DF15FD">
                    <w:rPr>
                      <w:b/>
                      <w:color w:val="8DB3E2" w:themeColor="text2" w:themeTint="66"/>
                    </w:rPr>
                    <w:t>In light blue, parameters necessary for calculations and calculated from dark blue parameters</w:t>
                  </w:r>
                </w:p>
              </w:txbxContent>
            </v:textbox>
          </v:shape>
        </w:pict>
      </w:r>
      <w:r>
        <w:rPr>
          <w:noProof/>
        </w:rPr>
        <w:pict>
          <v:shape id="_x0000_s1219" type="#_x0000_t32" style="position:absolute;margin-left:100.9pt;margin-top:371.95pt;width:166.2pt;height:75.5pt;flip:x;z-index:251768832" o:connectortype="straight">
            <v:stroke endarrow="block"/>
          </v:shape>
        </w:pict>
      </w:r>
      <w:r>
        <w:rPr>
          <w:noProof/>
        </w:rPr>
        <w:pict>
          <v:shape id="_x0000_s1216" type="#_x0000_t32" style="position:absolute;margin-left:170.2pt;margin-top:371.95pt;width:92.45pt;height:28.4pt;flip:x;z-index:251765760" o:connectortype="straight">
            <v:stroke endarrow="block"/>
          </v:shape>
        </w:pict>
      </w:r>
      <w:r>
        <w:rPr>
          <w:noProof/>
        </w:rPr>
        <w:pict>
          <v:shape id="_x0000_s1218" type="#_x0000_t202" style="position:absolute;margin-left:202.05pt;margin-top:337.2pt;width:127.3pt;height:34.75pt;z-index:251767808;v-text-anchor:middle" strokecolor="red">
            <v:textbox inset="1mm,.5mm,1mm,.5mm">
              <w:txbxContent>
                <w:p w:rsidR="00ED6928" w:rsidRPr="00DF15FD" w:rsidRDefault="00ED6928" w:rsidP="00DA16B9">
                  <w:pPr>
                    <w:spacing w:afterLines="0" w:line="240" w:lineRule="auto"/>
                    <w:jc w:val="center"/>
                    <w:rPr>
                      <w:color w:val="FF0000"/>
                    </w:rPr>
                  </w:pPr>
                  <w:r w:rsidRPr="00DF15FD">
                    <w:rPr>
                      <w:color w:val="FF0000"/>
                    </w:rPr>
                    <w:t>Fixed</w:t>
                  </w:r>
                  <w:r>
                    <w:rPr>
                      <w:color w:val="FF0000"/>
                    </w:rPr>
                    <w:t xml:space="preserve"> depth (z), leaching concentra</w:t>
                  </w:r>
                  <w:r w:rsidRPr="00DF15FD">
                    <w:rPr>
                      <w:color w:val="FF0000"/>
                    </w:rPr>
                    <w:t>tion w</w:t>
                  </w:r>
                  <w:r>
                    <w:rPr>
                      <w:color w:val="FF0000"/>
                    </w:rPr>
                    <w:t>ith time</w:t>
                  </w:r>
                </w:p>
              </w:txbxContent>
            </v:textbox>
          </v:shape>
        </w:pict>
      </w:r>
      <w:r>
        <w:rPr>
          <w:noProof/>
        </w:rPr>
        <w:pict>
          <v:shape id="_x0000_s1217" type="#_x0000_t32" style="position:absolute;margin-left:267.1pt;margin-top:265.2pt;width:22.25pt;height:69.35pt;flip:y;z-index:251766784" o:connectortype="straight">
            <v:stroke endarrow="block"/>
          </v:shape>
        </w:pict>
      </w:r>
      <w:r>
        <w:rPr>
          <w:noProof/>
        </w:rPr>
        <w:pict>
          <v:shape id="_x0000_s1213" type="#_x0000_t202" style="position:absolute;margin-left:614.7pt;margin-top:424.7pt;width:60.4pt;height:34.75pt;z-index:251762688;v-text-anchor:middle" strokecolor="#f3c">
            <v:textbox inset="1mm,.5mm,1mm,.5mm">
              <w:txbxContent>
                <w:p w:rsidR="00ED6928" w:rsidRPr="00B91AD6" w:rsidRDefault="00ED6928" w:rsidP="00DA16B9">
                  <w:pPr>
                    <w:spacing w:afterLines="0" w:line="240" w:lineRule="auto"/>
                    <w:jc w:val="center"/>
                    <w:rPr>
                      <w:color w:val="FF33CC"/>
                      <w:lang w:val="da-DK"/>
                    </w:rPr>
                  </w:pPr>
                  <w:r w:rsidRPr="00B91AD6">
                    <w:rPr>
                      <w:color w:val="FF33CC"/>
                      <w:lang w:val="da-DK"/>
                    </w:rPr>
                    <w:t>Results</w:t>
                  </w:r>
                </w:p>
              </w:txbxContent>
            </v:textbox>
          </v:shape>
        </w:pict>
      </w:r>
      <w:r>
        <w:rPr>
          <w:noProof/>
        </w:rPr>
        <w:pict>
          <v:shape id="_x0000_s1211" type="#_x0000_t202" style="position:absolute;margin-left:608.3pt;margin-top:165.65pt;width:94.4pt;height:34.75pt;z-index:251760640;v-text-anchor:middle" strokecolor="red">
            <v:textbox inset="1mm,.5mm,1mm,.5mm">
              <w:txbxContent>
                <w:p w:rsidR="00ED6928" w:rsidRPr="00B91AD6" w:rsidRDefault="00ED6928" w:rsidP="00DA16B9">
                  <w:pPr>
                    <w:spacing w:afterLines="0" w:line="240" w:lineRule="auto"/>
                    <w:jc w:val="center"/>
                    <w:rPr>
                      <w:color w:val="FF0000"/>
                      <w:lang w:val="da-DK"/>
                    </w:rPr>
                  </w:pPr>
                  <w:r w:rsidRPr="00B91AD6">
                    <w:rPr>
                      <w:color w:val="FF0000"/>
                      <w:lang w:val="da-DK"/>
                    </w:rPr>
                    <w:t>Graphical results</w:t>
                  </w:r>
                </w:p>
              </w:txbxContent>
            </v:textbox>
          </v:shape>
        </w:pict>
      </w:r>
      <w:r>
        <w:rPr>
          <w:noProof/>
        </w:rPr>
        <w:pict>
          <v:rect id="_x0000_s1210" style="position:absolute;margin-left:216.3pt;margin-top:71.4pt;width:383.1pt;height:204.45pt;z-index:251759616" filled="f" strokecolor="red" strokeweight="1.5pt"/>
        </w:pict>
      </w:r>
      <w:r>
        <w:rPr>
          <w:noProof/>
        </w:rPr>
        <w:pict>
          <v:shape id="_x0000_s1209" type="#_x0000_t32" style="position:absolute;margin-left:108pt;margin-top:478.55pt;width:28.45pt;height:16.9pt;flip:y;z-index:251758592" o:connectortype="straight">
            <v:stroke endarrow="block"/>
          </v:shape>
        </w:pict>
      </w:r>
      <w:r>
        <w:rPr>
          <w:noProof/>
        </w:rPr>
        <w:pict>
          <v:shape id="_x0000_s1206" type="#_x0000_t32" style="position:absolute;margin-left:77.8pt;margin-top:478.55pt;width:30.2pt;height:16.9pt;flip:x y;z-index:251755520" o:connectortype="straight">
            <v:stroke endarrow="block"/>
          </v:shape>
        </w:pict>
      </w:r>
      <w:r>
        <w:rPr>
          <w:noProof/>
        </w:rPr>
        <w:pict>
          <v:shape id="_x0000_s1207" type="#_x0000_t32" style="position:absolute;margin-left:100.9pt;margin-top:478.55pt;width:7.1pt;height:16.9pt;flip:x y;z-index:251756544" o:connectortype="straight">
            <v:stroke endarrow="block"/>
          </v:shape>
        </w:pict>
      </w:r>
      <w:r w:rsidR="00DA16B9" w:rsidRPr="00DA16B9">
        <w:rPr>
          <w:noProof/>
        </w:rPr>
        <w:drawing>
          <wp:inline distT="0" distB="0" distL="0" distR="0">
            <wp:extent cx="7758995" cy="6094800"/>
            <wp:effectExtent l="19050" t="0" r="0" b="0"/>
            <wp:docPr id="21" name="Pictur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5" cstate="print"/>
                    <a:srcRect t="16642" r="19854" b="2526"/>
                    <a:stretch>
                      <a:fillRect/>
                    </a:stretch>
                  </pic:blipFill>
                  <pic:spPr bwMode="auto">
                    <a:xfrm>
                      <a:off x="0" y="0"/>
                      <a:ext cx="7758995" cy="6094800"/>
                    </a:xfrm>
                    <a:prstGeom prst="rect">
                      <a:avLst/>
                    </a:prstGeom>
                    <a:noFill/>
                    <a:ln w="9525">
                      <a:noFill/>
                      <a:miter lim="800000"/>
                      <a:headEnd/>
                      <a:tailEnd/>
                    </a:ln>
                  </pic:spPr>
                </pic:pic>
              </a:graphicData>
            </a:graphic>
          </wp:inline>
        </w:drawing>
      </w:r>
    </w:p>
    <w:p w:rsidR="00B91AD6" w:rsidRDefault="00D914C9" w:rsidP="00257857">
      <w:pPr>
        <w:spacing w:afterLines="0" w:line="240" w:lineRule="auto"/>
        <w:sectPr w:rsidR="00B91AD6" w:rsidSect="009A2880">
          <w:pgSz w:w="16839" w:h="11907" w:orient="landscape" w:code="9"/>
          <w:pgMar w:top="720" w:right="720" w:bottom="720" w:left="720" w:header="57" w:footer="57" w:gutter="0"/>
          <w:cols w:space="708"/>
          <w:docGrid w:linePitch="360"/>
        </w:sectPr>
      </w:pPr>
      <w:r>
        <w:rPr>
          <w:noProof/>
        </w:rPr>
        <w:pict>
          <v:shape id="_x0000_s1208" type="#_x0000_t202" style="position:absolute;margin-left:77.8pt;margin-top:15.9pt;width:76.45pt;height:31.1pt;z-index:251757568;v-text-anchor:middle">
            <v:textbox style="mso-next-textbox:#_x0000_s1208" inset="1mm,.5mm,1mm,.5mm">
              <w:txbxContent>
                <w:p w:rsidR="00ED6928" w:rsidRPr="004105F0" w:rsidRDefault="00ED6928" w:rsidP="00DA16B9">
                  <w:pPr>
                    <w:spacing w:afterLines="0" w:line="240" w:lineRule="auto"/>
                    <w:jc w:val="center"/>
                    <w:rPr>
                      <w:lang w:val="da-DK"/>
                    </w:rPr>
                  </w:pPr>
                  <w:r>
                    <w:rPr>
                      <w:lang w:val="da-DK"/>
                    </w:rPr>
                    <w:t>Choice of the source model</w:t>
                  </w:r>
                </w:p>
              </w:txbxContent>
            </v:textbox>
          </v:shape>
        </w:pict>
      </w:r>
      <w:r w:rsidR="00DA16B9">
        <w:br w:type="page"/>
      </w:r>
    </w:p>
    <w:p w:rsidR="00ED6928" w:rsidRPr="00ED6928" w:rsidRDefault="00D914C9" w:rsidP="00ED6928">
      <w:pPr>
        <w:pStyle w:val="ListParagraph"/>
        <w:spacing w:after="480"/>
        <w:jc w:val="center"/>
        <w:rPr>
          <w:rFonts w:ascii="Calibri" w:hAnsi="Calibri"/>
        </w:rPr>
      </w:pPr>
      <w:r>
        <w:lastRenderedPageBreak/>
        <w:fldChar w:fldCharType="begin"/>
      </w:r>
      <w:r w:rsidR="002B1328">
        <w:instrText xml:space="preserve"> ADDIN REFMGR.REFLIST </w:instrText>
      </w:r>
      <w:r>
        <w:fldChar w:fldCharType="separate"/>
      </w:r>
      <w:r w:rsidR="00ED6928" w:rsidRPr="00ED6928">
        <w:rPr>
          <w:rFonts w:ascii="Calibri" w:hAnsi="Calibri"/>
        </w:rPr>
        <w:t>Reference List</w:t>
      </w:r>
    </w:p>
    <w:p w:rsidR="00ED6928" w:rsidRPr="00ED6928" w:rsidRDefault="00ED6928" w:rsidP="00ED6928">
      <w:pPr>
        <w:pStyle w:val="ListParagraph"/>
        <w:spacing w:after="480"/>
        <w:jc w:val="center"/>
        <w:rPr>
          <w:rFonts w:ascii="Calibri" w:hAnsi="Calibri"/>
        </w:rPr>
      </w:pPr>
    </w:p>
    <w:p w:rsidR="00ED6928" w:rsidRPr="00ED6928" w:rsidRDefault="00ED6928" w:rsidP="00ED6928">
      <w:pPr>
        <w:pStyle w:val="ListParagraph"/>
        <w:tabs>
          <w:tab w:val="left" w:pos="0"/>
        </w:tabs>
        <w:spacing w:after="480" w:line="240" w:lineRule="auto"/>
        <w:ind w:hanging="720"/>
        <w:rPr>
          <w:rFonts w:ascii="Calibri" w:hAnsi="Calibri"/>
        </w:rPr>
      </w:pPr>
      <w:r w:rsidRPr="00ED6928">
        <w:rPr>
          <w:rFonts w:ascii="Calibri" w:hAnsi="Calibri"/>
        </w:rPr>
        <w:t>Chambon, J. C., Binning, P. J., Jorgensen, P. R., and Bjerg, P. L., 2011. A risk assessment tool for contaminated sites in low-permeability fractured media. Journal of Contaminant Hydrology. 124 (1-4), 82-98.</w:t>
      </w:r>
    </w:p>
    <w:p w:rsidR="00ED6928" w:rsidRPr="00ED6928" w:rsidRDefault="00ED6928" w:rsidP="00ED6928">
      <w:pPr>
        <w:pStyle w:val="ListParagraph"/>
        <w:tabs>
          <w:tab w:val="left" w:pos="0"/>
        </w:tabs>
        <w:spacing w:after="480" w:line="240" w:lineRule="auto"/>
        <w:ind w:hanging="720"/>
        <w:rPr>
          <w:rFonts w:ascii="Calibri" w:hAnsi="Calibri"/>
        </w:rPr>
      </w:pPr>
      <w:r w:rsidRPr="00ED6928">
        <w:rPr>
          <w:rFonts w:ascii="Calibri" w:hAnsi="Calibri"/>
        </w:rPr>
        <w:t>McKay, L. D., Cherry, J. A., and Gillham, R. W., 1993. Field Experiments in A Fractured Clay Till .1. Hydraulic Conductivity and Fracture Aperture. Water Resources Research. 29 (4), 1149-1162.</w:t>
      </w:r>
    </w:p>
    <w:p w:rsidR="00ED6928" w:rsidRPr="00ED6928" w:rsidRDefault="00ED6928" w:rsidP="00ED6928">
      <w:pPr>
        <w:pStyle w:val="ListParagraph"/>
        <w:tabs>
          <w:tab w:val="left" w:pos="0"/>
        </w:tabs>
        <w:spacing w:after="480" w:line="240" w:lineRule="auto"/>
        <w:ind w:hanging="720"/>
        <w:rPr>
          <w:rFonts w:ascii="Calibri" w:hAnsi="Calibri"/>
        </w:rPr>
      </w:pPr>
      <w:r w:rsidRPr="00ED6928">
        <w:rPr>
          <w:rFonts w:ascii="Calibri" w:hAnsi="Calibri"/>
        </w:rPr>
        <w:t>Troldborg, M., Lemming, G., Binning, P. J., Tuxen, N., and Bjerg, P. L., 2008. Risk assessment and prioritisation of contaminated sites on the catchment scale. Journal of Contaminant Hydrology. 101 (1-4), 14-28.</w:t>
      </w:r>
    </w:p>
    <w:p w:rsidR="00ED6928" w:rsidRPr="00ED6928" w:rsidRDefault="00ED6928" w:rsidP="00ED6928">
      <w:pPr>
        <w:pStyle w:val="ListParagraph"/>
        <w:tabs>
          <w:tab w:val="left" w:pos="0"/>
        </w:tabs>
        <w:spacing w:after="480" w:line="240" w:lineRule="auto"/>
        <w:ind w:hanging="720"/>
        <w:rPr>
          <w:rFonts w:ascii="Calibri" w:hAnsi="Calibri"/>
        </w:rPr>
      </w:pPr>
    </w:p>
    <w:p w:rsidR="002B1328" w:rsidRPr="001F7BCF" w:rsidRDefault="00D914C9" w:rsidP="00ED6928">
      <w:pPr>
        <w:pStyle w:val="ListParagraph"/>
        <w:tabs>
          <w:tab w:val="left" w:pos="0"/>
        </w:tabs>
        <w:spacing w:after="480" w:line="240" w:lineRule="auto"/>
        <w:ind w:hanging="720"/>
      </w:pPr>
      <w:r>
        <w:fldChar w:fldCharType="end"/>
      </w:r>
    </w:p>
    <w:sectPr w:rsidR="002B1328" w:rsidRPr="001F7BCF" w:rsidSect="002B1328">
      <w:pgSz w:w="11907" w:h="16839"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928" w:rsidRDefault="00ED6928" w:rsidP="007443C7">
      <w:pPr>
        <w:spacing w:after="480" w:line="240" w:lineRule="auto"/>
      </w:pPr>
      <w:r>
        <w:separator/>
      </w:r>
    </w:p>
  </w:endnote>
  <w:endnote w:type="continuationSeparator" w:id="0">
    <w:p w:rsidR="00ED6928" w:rsidRDefault="00ED6928" w:rsidP="007443C7">
      <w:pPr>
        <w:spacing w:after="48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928" w:rsidRDefault="00ED6928" w:rsidP="007443C7">
    <w:pPr>
      <w:pStyle w:val="Footer"/>
      <w:spacing w:after="48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928" w:rsidRDefault="00ED6928" w:rsidP="00E1447D">
    <w:pPr>
      <w:pStyle w:val="Footer"/>
      <w:spacing w:after="480"/>
      <w:jc w:val="right"/>
    </w:pPr>
    <w:fldSimple w:instr=" PAGE   \* MERGEFORMAT ">
      <w:r w:rsidR="005D1801">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928" w:rsidRDefault="00ED6928" w:rsidP="007443C7">
    <w:pPr>
      <w:pStyle w:val="Footer"/>
      <w:spacing w:after="48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928" w:rsidRDefault="00ED6928" w:rsidP="007443C7">
      <w:pPr>
        <w:spacing w:after="480" w:line="240" w:lineRule="auto"/>
      </w:pPr>
      <w:r>
        <w:separator/>
      </w:r>
    </w:p>
  </w:footnote>
  <w:footnote w:type="continuationSeparator" w:id="0">
    <w:p w:rsidR="00ED6928" w:rsidRDefault="00ED6928" w:rsidP="007443C7">
      <w:pPr>
        <w:spacing w:after="48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928" w:rsidRDefault="00ED6928" w:rsidP="007443C7">
    <w:pPr>
      <w:pStyle w:val="Header"/>
      <w:spacing w:after="48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928" w:rsidRDefault="00ED6928" w:rsidP="007443C7">
    <w:pPr>
      <w:pStyle w:val="Header"/>
      <w:spacing w:after="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928" w:rsidRDefault="00ED6928" w:rsidP="007443C7">
    <w:pPr>
      <w:pStyle w:val="Header"/>
      <w:spacing w:after="48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960D4F"/>
    <w:multiLevelType w:val="hybridMultilevel"/>
    <w:tmpl w:val="1968278C"/>
    <w:lvl w:ilvl="0" w:tplc="2E0CC6D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94"/>
  <w:defaultTabStop w:val="720"/>
  <w:drawingGridHorizontalSpacing w:val="110"/>
  <w:displayHorizontalDrawingGridEvery w:val="2"/>
  <w:characterSpacingControl w:val="doNotCompress"/>
  <w:footnotePr>
    <w:footnote w:id="-1"/>
    <w:footnote w:id="0"/>
  </w:footnotePr>
  <w:endnotePr>
    <w:endnote w:id="-1"/>
    <w:endnote w:id="0"/>
  </w:endnotePr>
  <w:compat/>
  <w:docVars>
    <w:docVar w:name="REFMGR.InstantFormat" w:val="&lt;InstantFormat&gt;&lt;Enabled&gt;1&lt;/Enabled&gt;&lt;ScanUnformatted&gt;1&lt;/ScanUnformatted&gt;&lt;ScanChanges&gt;1&lt;/ScanChanges&gt;&lt;/InstantFormat&gt;"/>
    <w:docVar w:name="REFMGR.Libraries" w:val="&lt;Databases&gt;&lt;Libraries&gt;&lt;item&gt;literature_PhD&lt;/item&gt;&lt;/Libraries&gt;&lt;/Databases&gt;"/>
  </w:docVars>
  <w:rsids>
    <w:rsidRoot w:val="001F7BCF"/>
    <w:rsid w:val="0011244E"/>
    <w:rsid w:val="00197F40"/>
    <w:rsid w:val="001E2E7D"/>
    <w:rsid w:val="001F7BCF"/>
    <w:rsid w:val="00242875"/>
    <w:rsid w:val="00257857"/>
    <w:rsid w:val="002B1328"/>
    <w:rsid w:val="003C78E7"/>
    <w:rsid w:val="004105F0"/>
    <w:rsid w:val="004152CD"/>
    <w:rsid w:val="005D1801"/>
    <w:rsid w:val="005F6EF5"/>
    <w:rsid w:val="006734FF"/>
    <w:rsid w:val="006C705D"/>
    <w:rsid w:val="007443C7"/>
    <w:rsid w:val="007F3850"/>
    <w:rsid w:val="00804E52"/>
    <w:rsid w:val="008B7404"/>
    <w:rsid w:val="009A2880"/>
    <w:rsid w:val="00B7659C"/>
    <w:rsid w:val="00B91AD6"/>
    <w:rsid w:val="00CC6494"/>
    <w:rsid w:val="00D06149"/>
    <w:rsid w:val="00D57313"/>
    <w:rsid w:val="00D914C9"/>
    <w:rsid w:val="00DA16B9"/>
    <w:rsid w:val="00DE5713"/>
    <w:rsid w:val="00DF15FD"/>
    <w:rsid w:val="00E1447D"/>
    <w:rsid w:val="00ED6928"/>
    <w:rsid w:val="00F61C3C"/>
    <w:rsid w:val="00FD68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34">
      <o:colormru v:ext="edit" colors="#0c0"/>
      <o:colormenu v:ext="edit" strokecolor="#0c0"/>
    </o:shapedefaults>
    <o:shapelayout v:ext="edit">
      <o:idmap v:ext="edit" data="1"/>
      <o:rules v:ext="edit">
        <o:r id="V:Rule28" type="connector" idref="#_x0000_s1206"/>
        <o:r id="V:Rule29" type="connector" idref="#_x0000_s1201"/>
        <o:r id="V:Rule30" type="connector" idref="#_x0000_s1125"/>
        <o:r id="V:Rule31" type="connector" idref="#_x0000_s1207"/>
        <o:r id="V:Rule32" type="connector" idref="#_x0000_s1209"/>
        <o:r id="V:Rule33" type="connector" idref="#_x0000_s1191"/>
        <o:r id="V:Rule34" type="connector" idref="#_x0000_s1126"/>
        <o:r id="V:Rule35" type="connector" idref="#_x0000_s1219"/>
        <o:r id="V:Rule36" type="connector" idref="#_x0000_s1189"/>
        <o:r id="V:Rule37" type="connector" idref="#_x0000_s1133"/>
        <o:r id="V:Rule38" type="connector" idref="#_x0000_s1217"/>
        <o:r id="V:Rule39" type="connector" idref="#_x0000_s1188"/>
        <o:r id="V:Rule40" type="connector" idref="#_x0000_s1128"/>
        <o:r id="V:Rule41" type="connector" idref="#_x0000_s1216"/>
        <o:r id="V:Rule42" type="connector" idref="#_x0000_s1146"/>
        <o:r id="V:Rule43" type="connector" idref="#_x0000_s1079"/>
        <o:r id="V:Rule44" type="connector" idref="#_x0000_s1080"/>
        <o:r id="V:Rule45" type="connector" idref="#_x0000_s1228"/>
        <o:r id="V:Rule46" type="connector" idref="#_x0000_s1144"/>
        <o:r id="V:Rule47" type="connector" idref="#_x0000_s1143"/>
        <o:r id="V:Rule48" type="connector" idref="#_x0000_s1083"/>
        <o:r id="V:Rule49" type="connector" idref="#_x0000_s1198"/>
        <o:r id="V:Rule50" type="connector" idref="#_x0000_s1226"/>
        <o:r id="V:Rule51" type="connector" idref="#_x0000_s1224"/>
        <o:r id="V:Rule52" type="connector" idref="#_x0000_s1199"/>
        <o:r id="V:Rule53" type="connector" idref="#_x0000_s1134"/>
        <o:r id="V:Rule54" type="connector" idref="#_x0000_s1136"/>
        <o:r id="V:Rule55" type="connector" idref="#_x0000_s1232"/>
        <o:r id="V:Rule56" type="connector" idref="#_x0000_s12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Lines="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E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7BCF"/>
    <w:pPr>
      <w:ind w:left="720"/>
      <w:contextualSpacing/>
    </w:pPr>
  </w:style>
  <w:style w:type="paragraph" w:styleId="BalloonText">
    <w:name w:val="Balloon Text"/>
    <w:basedOn w:val="Normal"/>
    <w:link w:val="BalloonTextChar"/>
    <w:uiPriority w:val="99"/>
    <w:semiHidden/>
    <w:unhideWhenUsed/>
    <w:rsid w:val="001F7BC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BCF"/>
    <w:rPr>
      <w:rFonts w:ascii="Tahoma" w:hAnsi="Tahoma" w:cs="Tahoma"/>
      <w:sz w:val="16"/>
      <w:szCs w:val="16"/>
    </w:rPr>
  </w:style>
  <w:style w:type="paragraph" w:styleId="Caption">
    <w:name w:val="caption"/>
    <w:basedOn w:val="Normal"/>
    <w:next w:val="Normal"/>
    <w:uiPriority w:val="35"/>
    <w:unhideWhenUsed/>
    <w:qFormat/>
    <w:rsid w:val="001F7BCF"/>
    <w:pPr>
      <w:spacing w:after="200" w:line="240" w:lineRule="auto"/>
    </w:pPr>
    <w:rPr>
      <w:b/>
      <w:bCs/>
      <w:color w:val="4F81BD" w:themeColor="accent1"/>
      <w:sz w:val="18"/>
      <w:szCs w:val="18"/>
    </w:rPr>
  </w:style>
  <w:style w:type="paragraph" w:styleId="Header">
    <w:name w:val="header"/>
    <w:basedOn w:val="Normal"/>
    <w:link w:val="HeaderChar"/>
    <w:uiPriority w:val="99"/>
    <w:unhideWhenUsed/>
    <w:rsid w:val="007443C7"/>
    <w:pPr>
      <w:tabs>
        <w:tab w:val="center" w:pos="4680"/>
        <w:tab w:val="right" w:pos="9360"/>
      </w:tabs>
      <w:spacing w:line="240" w:lineRule="auto"/>
    </w:pPr>
  </w:style>
  <w:style w:type="character" w:customStyle="1" w:styleId="HeaderChar">
    <w:name w:val="Header Char"/>
    <w:basedOn w:val="DefaultParagraphFont"/>
    <w:link w:val="Header"/>
    <w:uiPriority w:val="99"/>
    <w:rsid w:val="007443C7"/>
  </w:style>
  <w:style w:type="paragraph" w:styleId="Footer">
    <w:name w:val="footer"/>
    <w:basedOn w:val="Normal"/>
    <w:link w:val="FooterChar"/>
    <w:uiPriority w:val="99"/>
    <w:unhideWhenUsed/>
    <w:rsid w:val="007443C7"/>
    <w:pPr>
      <w:tabs>
        <w:tab w:val="center" w:pos="4680"/>
        <w:tab w:val="right" w:pos="9360"/>
      </w:tabs>
      <w:spacing w:line="240" w:lineRule="auto"/>
    </w:pPr>
  </w:style>
  <w:style w:type="character" w:customStyle="1" w:styleId="FooterChar">
    <w:name w:val="Footer Char"/>
    <w:basedOn w:val="DefaultParagraphFont"/>
    <w:link w:val="Footer"/>
    <w:uiPriority w:val="99"/>
    <w:rsid w:val="007443C7"/>
  </w:style>
  <w:style w:type="paragraph" w:styleId="NoSpacing">
    <w:name w:val="No Spacing"/>
    <w:link w:val="NoSpacingChar"/>
    <w:uiPriority w:val="1"/>
    <w:qFormat/>
    <w:rsid w:val="00E1447D"/>
    <w:pPr>
      <w:spacing w:afterLines="0" w:line="240" w:lineRule="auto"/>
    </w:pPr>
    <w:rPr>
      <w:rFonts w:eastAsiaTheme="minorEastAsia"/>
    </w:rPr>
  </w:style>
  <w:style w:type="character" w:customStyle="1" w:styleId="NoSpacingChar">
    <w:name w:val="No Spacing Char"/>
    <w:basedOn w:val="DefaultParagraphFont"/>
    <w:link w:val="NoSpacing"/>
    <w:uiPriority w:val="1"/>
    <w:rsid w:val="00E1447D"/>
    <w:rPr>
      <w:rFonts w:eastAsiaTheme="minorEastAsia"/>
    </w:rPr>
  </w:style>
  <w:style w:type="paragraph" w:customStyle="1" w:styleId="MTDisplayEquation">
    <w:name w:val="MTDisplayEquation"/>
    <w:basedOn w:val="Normal"/>
    <w:next w:val="Normal"/>
    <w:link w:val="MTDisplayEquationChar"/>
    <w:rsid w:val="001E2E7D"/>
    <w:pPr>
      <w:tabs>
        <w:tab w:val="center" w:pos="4520"/>
        <w:tab w:val="right" w:pos="9020"/>
      </w:tabs>
      <w:spacing w:afterLines="0" w:line="240" w:lineRule="auto"/>
    </w:pPr>
  </w:style>
  <w:style w:type="character" w:customStyle="1" w:styleId="MTDisplayEquationChar">
    <w:name w:val="MTDisplayEquation Char"/>
    <w:basedOn w:val="DefaultParagraphFont"/>
    <w:link w:val="MTDisplayEquation"/>
    <w:rsid w:val="001E2E7D"/>
  </w:style>
  <w:style w:type="character" w:customStyle="1" w:styleId="MTEquationSection">
    <w:name w:val="MTEquationSection"/>
    <w:basedOn w:val="DefaultParagraphFont"/>
    <w:rsid w:val="001E2E7D"/>
    <w:rPr>
      <w:b/>
      <w:vanish/>
      <w:color w:val="FF000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header" Target="header2.xml"/><Relationship Id="rId25" Type="http://schemas.openxmlformats.org/officeDocument/2006/relationships/image" Target="media/image9.png"/><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8.png"/><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7.png"/><Relationship Id="rId10" Type="http://schemas.openxmlformats.org/officeDocument/2006/relationships/image" Target="media/image3.wmf"/><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6.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7</Pages>
  <Words>1745</Words>
  <Characters>9952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E&amp;R DTU</Company>
  <LinksUpToDate>false</LinksUpToDate>
  <CharactersWithSpaces>11674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Chambon</dc:creator>
  <cp:keywords/>
  <dc:description/>
  <cp:lastModifiedBy>Julie Chambon</cp:lastModifiedBy>
  <cp:revision>10</cp:revision>
  <dcterms:created xsi:type="dcterms:W3CDTF">2011-01-17T08:46:00Z</dcterms:created>
  <dcterms:modified xsi:type="dcterms:W3CDTF">2011-10-10T13:06:00Z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Section">
    <vt:lpwstr>1</vt:lpwstr>
  </property>
  <property fmtid="{D5CDD505-2E9C-101B-9397-08002B2CF9AE}" pid="4" name="MTEquationNumber2">
    <vt:lpwstr>(#E1)</vt:lpwstr>
  </property>
</Properties>
</file>